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198" w:firstLineChars="0"/>
        <w:rPr>
          <w:kern w:val="0"/>
          <w:sz w:val="52"/>
          <w:szCs w:val="52"/>
        </w:rPr>
      </w:pPr>
      <w:bookmarkStart w:id="0" w:name="_Toc470699948"/>
    </w:p>
    <w:p>
      <w:pPr>
        <w:spacing w:line="360" w:lineRule="auto"/>
        <w:ind w:firstLine="198" w:firstLineChars="0"/>
        <w:rPr>
          <w:rFonts w:hint="eastAsia"/>
          <w:kern w:val="0"/>
          <w:sz w:val="52"/>
          <w:szCs w:val="52"/>
        </w:rPr>
      </w:pPr>
    </w:p>
    <w:p>
      <w:pPr>
        <w:spacing w:line="360" w:lineRule="auto"/>
        <w:ind w:firstLine="198" w:firstLineChars="0"/>
        <w:jc w:val="center"/>
        <w:rPr>
          <w:rFonts w:hint="eastAsia" w:ascii="黑体" w:hAnsi="黑体" w:eastAsia="黑体" w:cs="Times New Roman"/>
          <w:kern w:val="0"/>
          <w:sz w:val="36"/>
          <w:szCs w:val="36"/>
          <w:lang w:eastAsia="zh-CN"/>
        </w:rPr>
      </w:pPr>
      <w:r>
        <w:rPr>
          <w:rFonts w:hint="eastAsia" w:ascii="黑体" w:hAnsi="黑体" w:eastAsia="黑体" w:cs="Times New Roman"/>
          <w:kern w:val="0"/>
          <w:sz w:val="36"/>
          <w:szCs w:val="36"/>
          <w:lang w:eastAsia="zh-CN"/>
        </w:rPr>
        <w:t>泸县战旗石</w:t>
      </w:r>
      <w:bookmarkStart w:id="34" w:name="_GoBack"/>
      <w:bookmarkEnd w:id="34"/>
      <w:r>
        <w:rPr>
          <w:rFonts w:hint="eastAsia" w:ascii="黑体" w:hAnsi="黑体" w:eastAsia="黑体" w:cs="Times New Roman"/>
          <w:kern w:val="0"/>
          <w:sz w:val="36"/>
          <w:szCs w:val="36"/>
          <w:lang w:eastAsia="zh-CN"/>
        </w:rPr>
        <w:t>材厂</w:t>
      </w:r>
    </w:p>
    <w:p>
      <w:pPr>
        <w:spacing w:line="360" w:lineRule="auto"/>
        <w:ind w:firstLine="198" w:firstLineChars="0"/>
        <w:jc w:val="center"/>
        <w:rPr>
          <w:rFonts w:hint="eastAsia" w:ascii="黑体" w:hAnsi="黑体" w:eastAsia="黑体"/>
          <w:kern w:val="0"/>
          <w:sz w:val="36"/>
          <w:szCs w:val="36"/>
        </w:rPr>
      </w:pPr>
      <w:r>
        <w:rPr>
          <w:rFonts w:hint="eastAsia" w:ascii="黑体" w:hAnsi="黑体" w:eastAsia="黑体" w:cs="Times New Roman"/>
          <w:kern w:val="0"/>
          <w:sz w:val="36"/>
          <w:szCs w:val="36"/>
          <w:lang w:val="en-US" w:eastAsia="zh-CN"/>
        </w:rPr>
        <w:t>10万吨/年建筑用砂岩开采项目</w:t>
      </w:r>
      <w:r>
        <w:rPr>
          <w:rFonts w:ascii="黑体" w:hAnsi="黑体" w:eastAsia="黑体" w:cs="Times New Roman"/>
          <w:kern w:val="0"/>
          <w:sz w:val="36"/>
          <w:szCs w:val="36"/>
        </w:rPr>
        <w:t>环境</w:t>
      </w:r>
      <w:r>
        <w:rPr>
          <w:rFonts w:ascii="黑体" w:hAnsi="黑体" w:eastAsia="黑体"/>
          <w:kern w:val="0"/>
          <w:sz w:val="36"/>
          <w:szCs w:val="36"/>
        </w:rPr>
        <w:t>影响评价</w:t>
      </w:r>
    </w:p>
    <w:p>
      <w:pPr>
        <w:spacing w:line="360" w:lineRule="auto"/>
        <w:ind w:firstLine="198" w:firstLineChars="0"/>
        <w:jc w:val="center"/>
        <w:rPr>
          <w:rFonts w:ascii="黑体" w:hAnsi="黑体" w:eastAsia="黑体"/>
          <w:kern w:val="0"/>
          <w:sz w:val="36"/>
          <w:szCs w:val="36"/>
        </w:rPr>
      </w:pPr>
    </w:p>
    <w:p>
      <w:pPr>
        <w:spacing w:line="360" w:lineRule="auto"/>
        <w:ind w:firstLine="198" w:firstLineChars="0"/>
        <w:jc w:val="center"/>
        <w:rPr>
          <w:rFonts w:ascii="黑体" w:hAnsi="黑体" w:eastAsia="黑体"/>
          <w:kern w:val="0"/>
          <w:sz w:val="48"/>
          <w:szCs w:val="48"/>
        </w:rPr>
      </w:pPr>
      <w:r>
        <w:rPr>
          <w:rFonts w:ascii="黑体" w:hAnsi="黑体" w:eastAsia="黑体"/>
          <w:kern w:val="0"/>
          <w:sz w:val="48"/>
          <w:szCs w:val="48"/>
        </w:rPr>
        <w:t>公众参与说明</w:t>
      </w:r>
    </w:p>
    <w:p>
      <w:pPr>
        <w:spacing w:line="360" w:lineRule="auto"/>
        <w:ind w:firstLine="198" w:firstLineChars="0"/>
        <w:jc w:val="center"/>
        <w:rPr>
          <w:kern w:val="0"/>
          <w:sz w:val="52"/>
          <w:szCs w:val="52"/>
        </w:rPr>
      </w:pPr>
    </w:p>
    <w:p>
      <w:pPr>
        <w:spacing w:line="360" w:lineRule="auto"/>
        <w:ind w:firstLine="198" w:firstLineChars="0"/>
        <w:jc w:val="center"/>
        <w:rPr>
          <w:kern w:val="0"/>
          <w:sz w:val="52"/>
          <w:szCs w:val="52"/>
        </w:rPr>
      </w:pPr>
    </w:p>
    <w:p>
      <w:pPr>
        <w:spacing w:line="360" w:lineRule="auto"/>
        <w:ind w:firstLine="198" w:firstLineChars="0"/>
        <w:jc w:val="center"/>
        <w:rPr>
          <w:kern w:val="0"/>
          <w:sz w:val="52"/>
          <w:szCs w:val="52"/>
        </w:rPr>
      </w:pPr>
    </w:p>
    <w:p>
      <w:pPr>
        <w:spacing w:line="360" w:lineRule="auto"/>
        <w:ind w:firstLine="198" w:firstLineChars="0"/>
        <w:jc w:val="center"/>
        <w:rPr>
          <w:kern w:val="0"/>
          <w:sz w:val="52"/>
          <w:szCs w:val="52"/>
        </w:rPr>
      </w:pPr>
    </w:p>
    <w:p>
      <w:pPr>
        <w:spacing w:line="360" w:lineRule="auto"/>
        <w:ind w:firstLine="198" w:firstLineChars="0"/>
        <w:jc w:val="center"/>
        <w:rPr>
          <w:kern w:val="0"/>
          <w:sz w:val="52"/>
          <w:szCs w:val="52"/>
        </w:rPr>
      </w:pPr>
    </w:p>
    <w:p>
      <w:pPr>
        <w:spacing w:line="360" w:lineRule="auto"/>
        <w:ind w:firstLine="198" w:firstLineChars="0"/>
        <w:jc w:val="center"/>
        <w:rPr>
          <w:kern w:val="0"/>
          <w:sz w:val="52"/>
          <w:szCs w:val="52"/>
        </w:rPr>
      </w:pPr>
    </w:p>
    <w:p>
      <w:pPr>
        <w:spacing w:line="360" w:lineRule="auto"/>
        <w:ind w:firstLine="198" w:firstLineChars="0"/>
        <w:jc w:val="center"/>
        <w:rPr>
          <w:rFonts w:hint="eastAsia"/>
          <w:kern w:val="0"/>
          <w:sz w:val="52"/>
          <w:szCs w:val="52"/>
        </w:rPr>
      </w:pPr>
    </w:p>
    <w:p>
      <w:pPr>
        <w:spacing w:line="360" w:lineRule="auto"/>
        <w:ind w:firstLine="198" w:firstLineChars="0"/>
        <w:jc w:val="center"/>
        <w:rPr>
          <w:rFonts w:hint="eastAsia"/>
          <w:kern w:val="0"/>
          <w:sz w:val="52"/>
          <w:szCs w:val="52"/>
        </w:rPr>
      </w:pPr>
    </w:p>
    <w:p>
      <w:pPr>
        <w:spacing w:line="360" w:lineRule="auto"/>
        <w:ind w:firstLine="198" w:firstLineChars="0"/>
        <w:jc w:val="center"/>
        <w:rPr>
          <w:rFonts w:hint="eastAsia" w:ascii="黑体" w:hAnsi="黑体" w:eastAsia="黑体"/>
          <w:sz w:val="28"/>
          <w:szCs w:val="28"/>
          <w:lang w:eastAsia="zh-CN"/>
        </w:rPr>
      </w:pPr>
      <w:r>
        <w:rPr>
          <w:rFonts w:hint="eastAsia" w:ascii="黑体" w:hAnsi="黑体" w:eastAsia="黑体"/>
          <w:kern w:val="0"/>
          <w:sz w:val="28"/>
          <w:szCs w:val="28"/>
        </w:rPr>
        <w:t>编制</w:t>
      </w:r>
      <w:r>
        <w:rPr>
          <w:rFonts w:ascii="黑体" w:hAnsi="黑体" w:eastAsia="黑体"/>
          <w:kern w:val="0"/>
          <w:sz w:val="28"/>
          <w:szCs w:val="28"/>
        </w:rPr>
        <w:t>单位</w:t>
      </w:r>
      <w:r>
        <w:rPr>
          <w:rFonts w:hint="eastAsia" w:ascii="黑体" w:hAnsi="黑体" w:eastAsia="黑体"/>
          <w:kern w:val="0"/>
          <w:sz w:val="28"/>
          <w:szCs w:val="28"/>
        </w:rPr>
        <w:t>：</w:t>
      </w:r>
      <w:r>
        <w:rPr>
          <w:rFonts w:hint="eastAsia" w:ascii="黑体" w:hAnsi="黑体" w:eastAsia="黑体" w:cs="Times New Roman"/>
          <w:kern w:val="0"/>
          <w:sz w:val="28"/>
          <w:szCs w:val="28"/>
          <w:lang w:eastAsia="zh-CN"/>
        </w:rPr>
        <w:t>泸县战旗石材厂</w:t>
      </w:r>
    </w:p>
    <w:p>
      <w:pPr>
        <w:spacing w:line="360" w:lineRule="auto"/>
        <w:ind w:firstLine="198" w:firstLineChars="0"/>
        <w:jc w:val="center"/>
        <w:rPr>
          <w:rFonts w:hint="eastAsia" w:ascii="黑体" w:hAnsi="黑体" w:eastAsia="黑体"/>
          <w:sz w:val="28"/>
          <w:szCs w:val="28"/>
        </w:rPr>
      </w:pPr>
      <w:r>
        <w:rPr>
          <w:rFonts w:hint="eastAsia" w:ascii="黑体" w:hAnsi="黑体" w:eastAsia="黑体"/>
          <w:sz w:val="28"/>
          <w:szCs w:val="28"/>
        </w:rPr>
        <w:t>201</w:t>
      </w:r>
      <w:r>
        <w:rPr>
          <w:rFonts w:ascii="黑体" w:hAnsi="黑体" w:eastAsia="黑体"/>
          <w:sz w:val="28"/>
          <w:szCs w:val="28"/>
        </w:rPr>
        <w:t>8</w:t>
      </w:r>
      <w:r>
        <w:rPr>
          <w:rFonts w:hint="eastAsia" w:ascii="黑体" w:hAnsi="黑体" w:eastAsia="黑体"/>
          <w:sz w:val="28"/>
          <w:szCs w:val="28"/>
        </w:rPr>
        <w:t>年</w:t>
      </w:r>
      <w:r>
        <w:rPr>
          <w:rFonts w:hint="eastAsia" w:ascii="黑体" w:hAnsi="黑体" w:eastAsia="黑体"/>
          <w:sz w:val="28"/>
          <w:szCs w:val="28"/>
          <w:lang w:val="en-US" w:eastAsia="zh-CN"/>
        </w:rPr>
        <w:t>11</w:t>
      </w:r>
      <w:r>
        <w:rPr>
          <w:rFonts w:hint="eastAsia" w:ascii="黑体" w:hAnsi="黑体" w:eastAsia="黑体"/>
          <w:sz w:val="28"/>
          <w:szCs w:val="28"/>
        </w:rPr>
        <w:t>月</w:t>
      </w:r>
    </w:p>
    <w:p>
      <w:pPr>
        <w:pStyle w:val="14"/>
        <w:ind w:firstLine="480"/>
        <w:jc w:val="center"/>
        <w:rPr>
          <w:b/>
          <w:color w:val="auto"/>
          <w:sz w:val="22"/>
          <w:szCs w:val="28"/>
        </w:rPr>
      </w:pPr>
      <w:r>
        <w:rPr>
          <w:b/>
          <w:color w:val="auto"/>
          <w:sz w:val="22"/>
          <w:szCs w:val="28"/>
          <w:lang w:val="zh-CN"/>
        </w:rPr>
        <w:t>目录</w:t>
      </w:r>
    </w:p>
    <w:p>
      <w:pPr>
        <w:pStyle w:val="9"/>
        <w:tabs>
          <w:tab w:val="left" w:pos="4437"/>
        </w:tabs>
        <w:ind w:firstLine="402"/>
        <w:rPr>
          <w:rFonts w:hint="default" w:ascii="Times New Roman" w:hAnsi="Times New Roman" w:cs="Times New Roman"/>
          <w:b w:val="0"/>
          <w:bCs w:val="0"/>
          <w:caps w:val="0"/>
          <w:sz w:val="21"/>
          <w:szCs w:val="22"/>
        </w:rPr>
      </w:pPr>
      <w:r>
        <w:rPr>
          <w:rFonts w:hint="default" w:ascii="Times New Roman" w:hAnsi="Times New Roman" w:cs="Times New Roman"/>
        </w:rPr>
        <w:fldChar w:fldCharType="begin"/>
      </w:r>
      <w:r>
        <w:rPr>
          <w:rFonts w:hint="default" w:ascii="Times New Roman" w:hAnsi="Times New Roman" w:cs="Times New Roman"/>
        </w:rPr>
        <w:instrText xml:space="preserve"> TOC \o "1-3" \h \z \u </w:instrText>
      </w:r>
      <w:r>
        <w:rPr>
          <w:rFonts w:hint="default" w:ascii="Times New Roman" w:hAnsi="Times New Roman" w:cs="Times New Roman"/>
        </w:rPr>
        <w:fldChar w:fldCharType="separate"/>
      </w: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"_Toc514158381"</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1</w:t>
      </w:r>
      <w:r>
        <w:rPr>
          <w:rFonts w:hint="default" w:ascii="Times New Roman" w:hAnsi="Times New Roman" w:cs="Times New Roman"/>
          <w:b w:val="0"/>
          <w:bCs w:val="0"/>
          <w:caps w:val="0"/>
          <w:sz w:val="21"/>
          <w:szCs w:val="22"/>
        </w:rPr>
        <w:tab/>
      </w:r>
      <w:r>
        <w:rPr>
          <w:rStyle w:val="12"/>
          <w:rFonts w:hint="default" w:ascii="Times New Roman" w:hAnsi="Times New Roman" w:cs="Times New Roman"/>
        </w:rPr>
        <w:t>概述</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_Toc514158381 \h </w:instrText>
      </w:r>
      <w:r>
        <w:rPr>
          <w:rFonts w:hint="default" w:ascii="Times New Roman" w:hAnsi="Times New Roman" w:cs="Times New Roman"/>
        </w:rPr>
        <w:fldChar w:fldCharType="separate"/>
      </w:r>
      <w:r>
        <w:rPr>
          <w:rFonts w:hint="default" w:ascii="Times New Roman" w:hAnsi="Times New Roman" w:cs="Times New Roman"/>
        </w:rPr>
        <w:t>1</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9"/>
        <w:ind w:firstLine="402"/>
        <w:rPr>
          <w:rFonts w:hint="default" w:ascii="Times New Roman" w:hAnsi="Times New Roman" w:cs="Times New Roman"/>
          <w:b w:val="0"/>
          <w:bCs w:val="0"/>
          <w: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"_Toc514158382"</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2</w:t>
      </w:r>
      <w:r>
        <w:rPr>
          <w:rFonts w:hint="default" w:ascii="Times New Roman" w:hAnsi="Times New Roman" w:cs="Times New Roman"/>
          <w:b w:val="0"/>
          <w:bCs w:val="0"/>
          <w:caps w:val="0"/>
          <w:sz w:val="21"/>
          <w:szCs w:val="22"/>
        </w:rPr>
        <w:tab/>
      </w:r>
      <w:r>
        <w:rPr>
          <w:rStyle w:val="12"/>
          <w:rFonts w:hint="default" w:ascii="Times New Roman" w:hAnsi="Times New Roman" w:cs="Times New Roman"/>
        </w:rPr>
        <w:t>公众参与的意义及目的</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_Toc514158382 \h </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"_Toc514158383"</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2.1</w:t>
      </w:r>
      <w:r>
        <w:rPr>
          <w:rFonts w:hint="default" w:ascii="Times New Roman" w:hAnsi="Times New Roman" w:cs="Times New Roman"/>
          <w:smallCaps w:val="0"/>
          <w:sz w:val="21"/>
          <w:szCs w:val="22"/>
        </w:rPr>
        <w:tab/>
      </w:r>
      <w:r>
        <w:rPr>
          <w:rStyle w:val="12"/>
          <w:rFonts w:hint="default" w:ascii="Times New Roman" w:hAnsi="Times New Roman" w:cs="Times New Roman"/>
        </w:rPr>
        <w:t>公众参与的意义</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_Toc514158383 \h </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"_Toc514158384"</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2.2</w:t>
      </w:r>
      <w:r>
        <w:rPr>
          <w:rFonts w:hint="default" w:ascii="Times New Roman" w:hAnsi="Times New Roman" w:cs="Times New Roman"/>
          <w:smallCaps w:val="0"/>
          <w:sz w:val="21"/>
          <w:szCs w:val="22"/>
        </w:rPr>
        <w:tab/>
      </w:r>
      <w:r>
        <w:rPr>
          <w:rStyle w:val="12"/>
          <w:rFonts w:hint="default" w:ascii="Times New Roman" w:hAnsi="Times New Roman" w:cs="Times New Roman"/>
        </w:rPr>
        <w:t>公众参与的目的</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_Toc514158384 \h </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9"/>
        <w:ind w:firstLine="402"/>
        <w:rPr>
          <w:rFonts w:hint="default" w:ascii="Times New Roman" w:hAnsi="Times New Roman" w:cs="Times New Roman"/>
          <w:b w:val="0"/>
          <w:bCs w:val="0"/>
          <w: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"_Toc514158385"</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3</w:t>
      </w:r>
      <w:r>
        <w:rPr>
          <w:rFonts w:hint="default" w:ascii="Times New Roman" w:hAnsi="Times New Roman" w:cs="Times New Roman"/>
          <w:b w:val="0"/>
          <w:bCs w:val="0"/>
          <w:caps w:val="0"/>
          <w:sz w:val="21"/>
          <w:szCs w:val="22"/>
        </w:rPr>
        <w:tab/>
      </w:r>
      <w:r>
        <w:rPr>
          <w:rStyle w:val="12"/>
          <w:rFonts w:hint="default" w:ascii="Times New Roman" w:hAnsi="Times New Roman" w:cs="Times New Roman"/>
        </w:rPr>
        <w:t>公众参与方法和形式</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_Toc514158385 \h </w:instrText>
      </w:r>
      <w:r>
        <w:rPr>
          <w:rFonts w:hint="default" w:ascii="Times New Roman" w:hAnsi="Times New Roman" w:cs="Times New Roman"/>
        </w:rPr>
        <w:fldChar w:fldCharType="separate"/>
      </w:r>
      <w:r>
        <w:rPr>
          <w:rFonts w:hint="default" w:ascii="Times New Roman" w:hAnsi="Times New Roman" w:cs="Times New Roman"/>
        </w:rPr>
        <w:t>4</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9"/>
        <w:ind w:firstLine="402"/>
        <w:rPr>
          <w:rFonts w:hint="default" w:ascii="Times New Roman" w:hAnsi="Times New Roman" w:cs="Times New Roman"/>
          <w:b w:val="0"/>
          <w:bCs w:val="0"/>
          <w: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"_Toc514158386"</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4</w:t>
      </w:r>
      <w:r>
        <w:rPr>
          <w:rFonts w:hint="default" w:ascii="Times New Roman" w:hAnsi="Times New Roman" w:cs="Times New Roman"/>
          <w:b w:val="0"/>
          <w:bCs w:val="0"/>
          <w:caps w:val="0"/>
          <w:sz w:val="21"/>
          <w:szCs w:val="22"/>
        </w:rPr>
        <w:tab/>
      </w:r>
      <w:r>
        <w:rPr>
          <w:rStyle w:val="12"/>
          <w:rFonts w:hint="default" w:ascii="Times New Roman" w:hAnsi="Times New Roman" w:cs="Times New Roman"/>
        </w:rPr>
        <w:t>网上公示</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_Toc514158386 \h </w:instrText>
      </w:r>
      <w:r>
        <w:rPr>
          <w:rFonts w:hint="default" w:ascii="Times New Roman" w:hAnsi="Times New Roman" w:cs="Times New Roman"/>
        </w:rPr>
        <w:fldChar w:fldCharType="separate"/>
      </w:r>
      <w:r>
        <w:rPr>
          <w:rFonts w:hint="default" w:ascii="Times New Roman" w:hAnsi="Times New Roman" w:cs="Times New Roman"/>
        </w:rPr>
        <w:t>5</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"_Toc514158387"</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4.1</w:t>
      </w:r>
      <w:r>
        <w:rPr>
          <w:rFonts w:hint="default" w:ascii="Times New Roman" w:hAnsi="Times New Roman" w:cs="Times New Roman"/>
          <w:smallCaps w:val="0"/>
          <w:sz w:val="21"/>
          <w:szCs w:val="22"/>
        </w:rPr>
        <w:tab/>
      </w:r>
      <w:r>
        <w:rPr>
          <w:rStyle w:val="12"/>
          <w:rFonts w:hint="default" w:ascii="Times New Roman" w:hAnsi="Times New Roman" w:cs="Times New Roman"/>
        </w:rPr>
        <w:t>网上一次公示</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_Toc514158387 \h </w:instrText>
      </w:r>
      <w:r>
        <w:rPr>
          <w:rFonts w:hint="default" w:ascii="Times New Roman" w:hAnsi="Times New Roman" w:cs="Times New Roman"/>
        </w:rPr>
        <w:fldChar w:fldCharType="separate"/>
      </w:r>
      <w:r>
        <w:rPr>
          <w:rFonts w:hint="default" w:ascii="Times New Roman" w:hAnsi="Times New Roman" w:cs="Times New Roman"/>
        </w:rPr>
        <w:t>5</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"_Toc514158388"</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4.2</w:t>
      </w:r>
      <w:r>
        <w:rPr>
          <w:rFonts w:hint="default" w:ascii="Times New Roman" w:hAnsi="Times New Roman" w:cs="Times New Roman"/>
          <w:smallCaps w:val="0"/>
          <w:sz w:val="21"/>
          <w:szCs w:val="22"/>
        </w:rPr>
        <w:tab/>
      </w:r>
      <w:r>
        <w:rPr>
          <w:rStyle w:val="12"/>
          <w:rFonts w:hint="default" w:ascii="Times New Roman" w:hAnsi="Times New Roman" w:cs="Times New Roman"/>
        </w:rPr>
        <w:t>网上二次公示</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_Toc514158388 \h </w:instrText>
      </w:r>
      <w:r>
        <w:rPr>
          <w:rFonts w:hint="default" w:ascii="Times New Roman" w:hAnsi="Times New Roman" w:cs="Times New Roman"/>
        </w:rPr>
        <w:fldChar w:fldCharType="separate"/>
      </w:r>
      <w:r>
        <w:rPr>
          <w:rFonts w:hint="default" w:ascii="Times New Roman" w:hAnsi="Times New Roman" w:cs="Times New Roman"/>
        </w:rPr>
        <w:t>6</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9"/>
        <w:ind w:firstLine="402"/>
        <w:rPr>
          <w:rFonts w:hint="default" w:ascii="Times New Roman" w:hAnsi="Times New Roman" w:cs="Times New Roman"/>
          <w:b w:val="0"/>
          <w:bCs w:val="0"/>
          <w: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"_Toc514158390"</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5</w:t>
      </w:r>
      <w:r>
        <w:rPr>
          <w:rFonts w:hint="default" w:ascii="Times New Roman" w:hAnsi="Times New Roman" w:cs="Times New Roman"/>
          <w:b w:val="0"/>
          <w:bCs w:val="0"/>
          <w:caps w:val="0"/>
          <w:sz w:val="21"/>
          <w:szCs w:val="22"/>
        </w:rPr>
        <w:tab/>
      </w:r>
      <w:r>
        <w:rPr>
          <w:rStyle w:val="12"/>
          <w:rFonts w:hint="default" w:ascii="Times New Roman" w:hAnsi="Times New Roman" w:cs="Times New Roman"/>
        </w:rPr>
        <w:t>问卷调查</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_Toc514158390 \h </w:instrText>
      </w:r>
      <w:r>
        <w:rPr>
          <w:rFonts w:hint="default" w:ascii="Times New Roman" w:hAnsi="Times New Roman" w:cs="Times New Roman"/>
        </w:rPr>
        <w:fldChar w:fldCharType="separate"/>
      </w:r>
      <w:r>
        <w:rPr>
          <w:rFonts w:hint="default" w:ascii="Times New Roman" w:hAnsi="Times New Roman" w:cs="Times New Roman"/>
        </w:rPr>
        <w:t>8</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9"/>
        <w:ind w:firstLine="402"/>
        <w:rPr>
          <w:rFonts w:hint="default" w:ascii="Times New Roman" w:hAnsi="Times New Roman" w:cs="Times New Roman"/>
          <w:b w:val="0"/>
          <w:bCs w:val="0"/>
          <w: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"_Toc514158391"</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6</w:t>
      </w:r>
      <w:r>
        <w:rPr>
          <w:rFonts w:hint="default" w:ascii="Times New Roman" w:hAnsi="Times New Roman" w:cs="Times New Roman"/>
          <w:b w:val="0"/>
          <w:bCs w:val="0"/>
          <w:caps w:val="0"/>
          <w:sz w:val="21"/>
          <w:szCs w:val="22"/>
        </w:rPr>
        <w:tab/>
      </w:r>
      <w:r>
        <w:rPr>
          <w:rStyle w:val="12"/>
          <w:rFonts w:hint="default" w:ascii="Times New Roman" w:hAnsi="Times New Roman" w:cs="Times New Roman"/>
        </w:rPr>
        <w:t>公众意见调查结果及分析</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_Toc514158391 \h </w:instrText>
      </w:r>
      <w:r>
        <w:rPr>
          <w:rFonts w:hint="default" w:ascii="Times New Roman" w:hAnsi="Times New Roman" w:cs="Times New Roman"/>
        </w:rPr>
        <w:fldChar w:fldCharType="separate"/>
      </w:r>
      <w:r>
        <w:rPr>
          <w:rFonts w:hint="default" w:ascii="Times New Roman" w:hAnsi="Times New Roman" w:cs="Times New Roman"/>
        </w:rPr>
        <w:t>10</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"_Toc514158392"</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6.1</w:t>
      </w:r>
      <w:r>
        <w:rPr>
          <w:rFonts w:hint="default" w:ascii="Times New Roman" w:hAnsi="Times New Roman" w:cs="Times New Roman"/>
          <w:smallCaps w:val="0"/>
          <w:sz w:val="21"/>
          <w:szCs w:val="22"/>
        </w:rPr>
        <w:tab/>
      </w:r>
      <w:r>
        <w:rPr>
          <w:rStyle w:val="12"/>
          <w:rFonts w:hint="default" w:ascii="Times New Roman" w:hAnsi="Times New Roman" w:cs="Times New Roman"/>
        </w:rPr>
        <w:t>网络公示结果</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_Toc514158392 \h </w:instrText>
      </w:r>
      <w:r>
        <w:rPr>
          <w:rFonts w:hint="default" w:ascii="Times New Roman" w:hAnsi="Times New Roman" w:cs="Times New Roman"/>
        </w:rPr>
        <w:fldChar w:fldCharType="separate"/>
      </w:r>
      <w:r>
        <w:rPr>
          <w:rFonts w:hint="default" w:ascii="Times New Roman" w:hAnsi="Times New Roman" w:cs="Times New Roman"/>
        </w:rPr>
        <w:t>10</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"_Toc514158393"</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6.2</w:t>
      </w:r>
      <w:r>
        <w:rPr>
          <w:rFonts w:hint="default" w:ascii="Times New Roman" w:hAnsi="Times New Roman" w:cs="Times New Roman"/>
          <w:smallCaps w:val="0"/>
          <w:sz w:val="21"/>
          <w:szCs w:val="22"/>
        </w:rPr>
        <w:tab/>
      </w:r>
      <w:r>
        <w:rPr>
          <w:rStyle w:val="12"/>
          <w:rFonts w:hint="default" w:ascii="Times New Roman" w:hAnsi="Times New Roman" w:cs="Times New Roman"/>
        </w:rPr>
        <w:t>“公众参与调查表”结果</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_Toc514158393 \h </w:instrText>
      </w:r>
      <w:r>
        <w:rPr>
          <w:rFonts w:hint="default" w:ascii="Times New Roman" w:hAnsi="Times New Roman" w:cs="Times New Roman"/>
        </w:rPr>
        <w:fldChar w:fldCharType="separate"/>
      </w:r>
      <w:r>
        <w:rPr>
          <w:rFonts w:hint="default" w:ascii="Times New Roman" w:hAnsi="Times New Roman" w:cs="Times New Roman"/>
        </w:rPr>
        <w:t>10</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pStyle w:val="10"/>
        <w:tabs>
          <w:tab w:val="left" w:pos="1200"/>
          <w:tab w:val="right" w:leader="dot" w:pos="8296"/>
        </w:tabs>
        <w:ind w:firstLine="400"/>
        <w:rPr>
          <w:rFonts w:hint="default" w:ascii="Times New Roman" w:hAnsi="Times New Roman" w:cs="Times New Roman"/>
          <w:smallCaps w:val="0"/>
          <w:sz w:val="21"/>
          <w:szCs w:val="22"/>
        </w:rPr>
      </w:pPr>
      <w:r>
        <w:rPr>
          <w:rStyle w:val="12"/>
          <w:rFonts w:hint="default" w:ascii="Times New Roman" w:hAnsi="Times New Roman" w:cs="Times New Roman"/>
        </w:rPr>
        <w:fldChar w:fldCharType="begin"/>
      </w:r>
      <w:r>
        <w:rPr>
          <w:rStyle w:val="12"/>
          <w:rFonts w:hint="default" w:ascii="Times New Roman" w:hAnsi="Times New Roman" w:cs="Times New Roman"/>
        </w:rPr>
        <w:instrText xml:space="preserve"> </w:instrText>
      </w:r>
      <w:r>
        <w:rPr>
          <w:rFonts w:hint="default" w:ascii="Times New Roman" w:hAnsi="Times New Roman" w:cs="Times New Roman"/>
        </w:rPr>
        <w:instrText xml:space="preserve">HYPERLINK \l "_Toc514158394"</w:instrText>
      </w:r>
      <w:r>
        <w:rPr>
          <w:rStyle w:val="12"/>
          <w:rFonts w:hint="default" w:ascii="Times New Roman" w:hAnsi="Times New Roman" w:cs="Times New Roman"/>
        </w:rPr>
        <w:instrText xml:space="preserve"> </w:instrText>
      </w:r>
      <w:r>
        <w:rPr>
          <w:rStyle w:val="12"/>
          <w:rFonts w:hint="default" w:ascii="Times New Roman" w:hAnsi="Times New Roman" w:cs="Times New Roman"/>
        </w:rPr>
        <w:fldChar w:fldCharType="separate"/>
      </w:r>
      <w:r>
        <w:rPr>
          <w:rStyle w:val="12"/>
          <w:rFonts w:hint="default" w:ascii="Times New Roman" w:hAnsi="Times New Roman" w:cs="Times New Roman"/>
        </w:rPr>
        <w:t>6.3</w:t>
      </w:r>
      <w:r>
        <w:rPr>
          <w:rFonts w:hint="default" w:ascii="Times New Roman" w:hAnsi="Times New Roman" w:cs="Times New Roman"/>
          <w:smallCaps w:val="0"/>
          <w:sz w:val="21"/>
          <w:szCs w:val="22"/>
        </w:rPr>
        <w:tab/>
      </w:r>
      <w:r>
        <w:rPr>
          <w:rStyle w:val="12"/>
          <w:rFonts w:hint="default" w:ascii="Times New Roman" w:hAnsi="Times New Roman" w:cs="Times New Roman"/>
        </w:rPr>
        <w:t>反馈意见采纳与不采纳的说明</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_Toc514158394 \h </w:instrText>
      </w:r>
      <w:r>
        <w:rPr>
          <w:rFonts w:hint="default" w:ascii="Times New Roman" w:hAnsi="Times New Roman" w:cs="Times New Roman"/>
        </w:rPr>
        <w:fldChar w:fldCharType="separate"/>
      </w:r>
      <w:r>
        <w:rPr>
          <w:rFonts w:hint="default" w:ascii="Times New Roman" w:hAnsi="Times New Roman" w:cs="Times New Roman"/>
        </w:rPr>
        <w:t>11</w:t>
      </w:r>
      <w:r>
        <w:rPr>
          <w:rFonts w:hint="default" w:ascii="Times New Roman" w:hAnsi="Times New Roman" w:cs="Times New Roman"/>
        </w:rPr>
        <w:fldChar w:fldCharType="end"/>
      </w:r>
      <w:r>
        <w:rPr>
          <w:rStyle w:val="12"/>
          <w:rFonts w:hint="default" w:ascii="Times New Roman" w:hAnsi="Times New Roman" w:cs="Times New Roman"/>
        </w:rPr>
        <w:fldChar w:fldCharType="end"/>
      </w:r>
    </w:p>
    <w:p>
      <w:pPr>
        <w:ind w:firstLine="482"/>
        <w:rPr>
          <w:b/>
          <w:bCs/>
          <w:lang w:val="zh-CN"/>
        </w:rPr>
      </w:pPr>
      <w:r>
        <w:rPr>
          <w:rFonts w:hint="default" w:ascii="Times New Roman" w:hAnsi="Times New Roman" w:cs="Times New Roman"/>
          <w:b/>
          <w:bCs/>
          <w:lang w:val="zh-CN"/>
        </w:rPr>
        <w:fldChar w:fldCharType="end"/>
      </w:r>
    </w:p>
    <w:p>
      <w:pPr>
        <w:ind w:firstLine="482"/>
        <w:rPr>
          <w:rFonts w:hint="eastAsia"/>
          <w:b/>
          <w:bCs/>
          <w:lang w:val="zh-CN"/>
        </w:rPr>
      </w:pPr>
      <w:r>
        <w:rPr>
          <w:rFonts w:hint="eastAsia"/>
          <w:b/>
          <w:bCs/>
          <w:lang w:val="zh-CN"/>
        </w:rPr>
        <w:t>附件</w:t>
      </w:r>
      <w:r>
        <w:rPr>
          <w:b/>
          <w:bCs/>
          <w:lang w:val="zh-CN"/>
        </w:rPr>
        <w:t>：</w:t>
      </w:r>
    </w:p>
    <w:p>
      <w:pPr>
        <w:ind w:firstLine="480"/>
        <w:rPr>
          <w:rFonts w:hint="eastAsia"/>
        </w:rPr>
      </w:pPr>
      <w:r>
        <w:rPr>
          <w:rFonts w:hint="eastAsia"/>
          <w:bCs/>
          <w:lang w:val="zh-CN"/>
        </w:rPr>
        <w:t>公众</w:t>
      </w:r>
      <w:r>
        <w:rPr>
          <w:bCs/>
          <w:lang w:val="zh-CN"/>
        </w:rPr>
        <w:t>参与调查表（</w:t>
      </w:r>
      <w:r>
        <w:rPr>
          <w:rFonts w:hint="eastAsia"/>
          <w:bCs/>
          <w:lang w:val="zh-CN"/>
        </w:rPr>
        <w:t>样表</w:t>
      </w:r>
      <w:r>
        <w:rPr>
          <w:bCs/>
          <w:lang w:val="zh-CN"/>
        </w:rPr>
        <w:t>）</w:t>
      </w:r>
    </w:p>
    <w:p>
      <w:pPr>
        <w:spacing w:line="360" w:lineRule="auto"/>
        <w:ind w:firstLine="0" w:firstLineChars="0"/>
        <w:rPr>
          <w:rFonts w:ascii="黑体" w:hAnsi="黑体" w:eastAsia="黑体"/>
          <w:sz w:val="28"/>
          <w:szCs w:val="28"/>
        </w:rPr>
      </w:pPr>
    </w:p>
    <w:p>
      <w:pPr>
        <w:spacing w:line="360" w:lineRule="auto"/>
        <w:ind w:firstLine="0" w:firstLineChars="0"/>
        <w:rPr>
          <w:rFonts w:hint="eastAsia" w:ascii="黑体" w:hAnsi="黑体" w:eastAsia="黑体"/>
          <w:sz w:val="28"/>
          <w:szCs w:val="28"/>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pPr>
    </w:p>
    <w:p>
      <w:pPr>
        <w:pStyle w:val="4"/>
      </w:pPr>
      <w:bookmarkStart w:id="1" w:name="_Toc511031483"/>
      <w:bookmarkStart w:id="2" w:name="_Toc514158381"/>
      <w:r>
        <w:rPr>
          <w:rFonts w:hint="eastAsia"/>
        </w:rPr>
        <w:t>概述</w:t>
      </w:r>
      <w:bookmarkEnd w:id="1"/>
      <w:bookmarkEnd w:id="2"/>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outlineLvl w:val="9"/>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砂岩是一种沉积岩，由砂粒胶结而成的，结构稳定，通常呈淡褐色或红色，主要含硅、钙、黏土和氧化铁。绝大部分砂岩是由石英或长石组成的，具有无污染、无辐射、无反光、不风化、不变色、吸热、保温、防滑等特点。我国砂岩主要产地为四川及云南，其中四川砂岩的颜色是全中国最丰硕的，有红色、绿色、灰色、白色、玄色、紫色、黄色、青色等等。砂岩颗粒细腻，质地较软，非常适合作建筑、装饰用材。随着地方经济和工业的不断发展，特别是近几年来泸县及泸州市区建筑业的快速发展，泸县范围内生产条石、石料矿山较少，此外泸州将实行长江河道砂石全面禁采，而城市建设需求大量的建筑用砂岩。</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outlineLvl w:val="9"/>
        <w:rPr>
          <w:rFonts w:hint="default" w:ascii="Times New Roman" w:hAnsi="Times New Roman" w:eastAsia="宋体" w:cs="Times New Roman"/>
          <w:szCs w:val="28"/>
        </w:rPr>
      </w:pPr>
      <w:r>
        <w:rPr>
          <w:rFonts w:hint="default" w:ascii="Times New Roman" w:hAnsi="Times New Roman" w:eastAsia="宋体" w:cs="Times New Roman"/>
          <w:kern w:val="0"/>
          <w:sz w:val="24"/>
          <w:szCs w:val="24"/>
          <w:lang w:val="en-US" w:eastAsia="zh-CN" w:bidi="ar"/>
        </w:rPr>
        <w:t>本矿山开采矿种为建筑用砂岩，随着地方经济和工业的不断发展，特别是在当前全力推进城镇化建设、基础设施及新农村的建设进程中，对建筑用砂岩的需求日益增长。当前泸州长江段禁止在长江中开采砂石，造成了建筑行业内河沙、石子严重的供不应求现状，其行情持续高涨。河沙、碎石、片石等来源已严重不足，市场持续供不应求，尤其是江阳区、龙马潭区、纳溪区受“禁采令”影响十分明显。建筑用砂岩的市场需求在一定时期内呈上升趋势，本区建筑用砂岩，市场前景十分乐观。</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outlineLvl w:val="9"/>
        <w:rPr>
          <w:rFonts w:hint="eastAsia" w:ascii="Times New Roman" w:hAnsi="Times New Roman" w:eastAsia="宋体" w:cs="Times New Roman"/>
          <w:color w:val="auto"/>
          <w:szCs w:val="24"/>
          <w:lang w:eastAsia="zh-CN"/>
        </w:rPr>
      </w:pPr>
      <w:r>
        <w:rPr>
          <w:rFonts w:hint="default" w:ascii="Times New Roman" w:hAnsi="Times New Roman" w:eastAsia="宋体" w:cs="Times New Roman"/>
          <w:szCs w:val="28"/>
          <w:lang w:eastAsia="zh-CN"/>
        </w:rPr>
        <w:t>原</w:t>
      </w:r>
      <w:r>
        <w:rPr>
          <w:rFonts w:hint="default" w:ascii="Times New Roman" w:hAnsi="Times New Roman" w:eastAsia="宋体" w:cs="Times New Roman"/>
          <w:szCs w:val="28"/>
        </w:rPr>
        <w:t>泸县战旗石材厂</w:t>
      </w:r>
      <w:r>
        <w:rPr>
          <w:rFonts w:hint="default" w:ascii="Times New Roman" w:hAnsi="Times New Roman" w:eastAsia="宋体" w:cs="Times New Roman"/>
          <w:kern w:val="2"/>
          <w:szCs w:val="28"/>
        </w:rPr>
        <w:t>于2010年11月由泸县国土资源局发证，</w:t>
      </w:r>
      <w:r>
        <w:rPr>
          <w:rFonts w:hint="default" w:ascii="Times New Roman" w:hAnsi="Times New Roman" w:eastAsia="宋体" w:cs="Times New Roman"/>
          <w:szCs w:val="28"/>
        </w:rPr>
        <w:t>采矿权人：泸县战旗石材厂(晏文春)，属</w:t>
      </w:r>
      <w:r>
        <w:rPr>
          <w:rFonts w:hint="default" w:ascii="Times New Roman" w:hAnsi="Times New Roman" w:eastAsia="宋体" w:cs="Times New Roman"/>
        </w:rPr>
        <w:t>私营企业，</w:t>
      </w:r>
      <w:r>
        <w:rPr>
          <w:rFonts w:hint="default" w:ascii="Times New Roman" w:hAnsi="Times New Roman" w:eastAsia="宋体" w:cs="Times New Roman"/>
          <w:szCs w:val="28"/>
        </w:rPr>
        <w:t>法定代表人：晏文春，采矿许可证号：</w:t>
      </w:r>
      <w:r>
        <w:rPr>
          <w:rFonts w:hint="default" w:ascii="Times New Roman" w:hAnsi="Times New Roman" w:eastAsia="宋体" w:cs="Times New Roman"/>
          <w:snapToGrid w:val="0"/>
          <w:szCs w:val="28"/>
        </w:rPr>
        <w:t>C5105212010117130082446</w:t>
      </w:r>
      <w:r>
        <w:rPr>
          <w:rFonts w:hint="default" w:ascii="Times New Roman" w:hAnsi="Times New Roman" w:eastAsia="宋体" w:cs="Times New Roman"/>
          <w:szCs w:val="28"/>
        </w:rPr>
        <w:t>，有效期: 201</w:t>
      </w:r>
      <w:r>
        <w:rPr>
          <w:rFonts w:hint="default" w:ascii="Times New Roman" w:hAnsi="Times New Roman" w:eastAsia="宋体" w:cs="Times New Roman"/>
          <w:szCs w:val="28"/>
          <w:lang w:val="en-US" w:eastAsia="zh-CN"/>
        </w:rPr>
        <w:t>0</w:t>
      </w:r>
      <w:r>
        <w:rPr>
          <w:rFonts w:hint="default" w:ascii="Times New Roman" w:hAnsi="Times New Roman" w:eastAsia="宋体" w:cs="Times New Roman"/>
          <w:szCs w:val="28"/>
        </w:rPr>
        <w:t>年</w:t>
      </w:r>
      <w:r>
        <w:rPr>
          <w:rFonts w:hint="default" w:ascii="Times New Roman" w:hAnsi="Times New Roman" w:eastAsia="宋体" w:cs="Times New Roman"/>
          <w:szCs w:val="28"/>
          <w:lang w:val="en-US" w:eastAsia="zh-CN"/>
        </w:rPr>
        <w:t>11</w:t>
      </w:r>
      <w:r>
        <w:rPr>
          <w:rFonts w:hint="default" w:ascii="Times New Roman" w:hAnsi="Times New Roman" w:eastAsia="宋体" w:cs="Times New Roman"/>
          <w:szCs w:val="28"/>
        </w:rPr>
        <w:t>月～201</w:t>
      </w:r>
      <w:r>
        <w:rPr>
          <w:rFonts w:hint="default" w:ascii="Times New Roman" w:hAnsi="Times New Roman" w:eastAsia="宋体" w:cs="Times New Roman"/>
          <w:szCs w:val="28"/>
          <w:lang w:val="en-US" w:eastAsia="zh-CN"/>
        </w:rPr>
        <w:t>7</w:t>
      </w:r>
      <w:r>
        <w:rPr>
          <w:rFonts w:hint="default" w:ascii="Times New Roman" w:hAnsi="Times New Roman" w:eastAsia="宋体" w:cs="Times New Roman"/>
          <w:szCs w:val="28"/>
        </w:rPr>
        <w:t>年</w:t>
      </w:r>
      <w:r>
        <w:rPr>
          <w:rFonts w:hint="default" w:ascii="Times New Roman" w:hAnsi="Times New Roman" w:eastAsia="宋体" w:cs="Times New Roman"/>
          <w:szCs w:val="28"/>
          <w:lang w:val="en-US" w:eastAsia="zh-CN"/>
        </w:rPr>
        <w:t>6</w:t>
      </w:r>
      <w:r>
        <w:rPr>
          <w:rFonts w:hint="default" w:ascii="Times New Roman" w:hAnsi="Times New Roman" w:eastAsia="宋体" w:cs="Times New Roman"/>
          <w:szCs w:val="28"/>
        </w:rPr>
        <w:t>月，矿区范围由7个拐点圈闭，矿区面积：0.0244</w:t>
      </w:r>
      <w:r>
        <w:rPr>
          <w:rFonts w:hint="default" w:ascii="Times New Roman" w:hAnsi="Times New Roman" w:eastAsia="宋体" w:cs="Times New Roman"/>
          <w:snapToGrid w:val="0"/>
          <w:szCs w:val="28"/>
        </w:rPr>
        <w:t>km</w:t>
      </w:r>
      <w:r>
        <w:rPr>
          <w:rFonts w:hint="default" w:ascii="Times New Roman" w:hAnsi="Times New Roman" w:eastAsia="宋体" w:cs="Times New Roman"/>
          <w:snapToGrid w:val="0"/>
          <w:szCs w:val="28"/>
          <w:vertAlign w:val="superscript"/>
        </w:rPr>
        <w:t>2</w:t>
      </w:r>
      <w:r>
        <w:rPr>
          <w:rFonts w:hint="default" w:ascii="Times New Roman" w:hAnsi="Times New Roman" w:eastAsia="宋体" w:cs="Times New Roman"/>
          <w:szCs w:val="28"/>
        </w:rPr>
        <w:t>，开采矿种：砂岩，开采深度：+</w:t>
      </w:r>
      <w:r>
        <w:rPr>
          <w:rFonts w:hint="default" w:ascii="Times New Roman" w:hAnsi="Times New Roman" w:eastAsia="宋体" w:cs="Times New Roman"/>
          <w:szCs w:val="28"/>
          <w:lang w:val="en-US" w:eastAsia="zh-CN"/>
        </w:rPr>
        <w:t>307</w:t>
      </w:r>
      <w:r>
        <w:rPr>
          <w:rFonts w:hint="default" w:ascii="Times New Roman" w:hAnsi="Times New Roman" w:eastAsia="宋体" w:cs="Times New Roman"/>
          <w:szCs w:val="28"/>
        </w:rPr>
        <w:t>m～+</w:t>
      </w:r>
      <w:r>
        <w:rPr>
          <w:rFonts w:hint="default" w:ascii="Times New Roman" w:hAnsi="Times New Roman" w:eastAsia="宋体" w:cs="Times New Roman"/>
          <w:szCs w:val="28"/>
          <w:lang w:val="en-US" w:eastAsia="zh-CN"/>
        </w:rPr>
        <w:t>285</w:t>
      </w:r>
      <w:r>
        <w:rPr>
          <w:rFonts w:hint="default" w:ascii="Times New Roman" w:hAnsi="Times New Roman" w:eastAsia="宋体" w:cs="Times New Roman"/>
          <w:szCs w:val="28"/>
        </w:rPr>
        <w:t>m，生产规模2.00万吨/年，开采方式：露天开采</w:t>
      </w:r>
      <w:r>
        <w:rPr>
          <w:rFonts w:hint="default" w:ascii="Times New Roman" w:hAnsi="Times New Roman" w:eastAsia="宋体" w:cs="Times New Roman"/>
          <w:szCs w:val="28"/>
          <w:lang w:eastAsia="zh-CN"/>
        </w:rPr>
        <w:t>。根据现场勘查，原</w:t>
      </w:r>
      <w:r>
        <w:rPr>
          <w:rFonts w:hint="default" w:ascii="Times New Roman" w:hAnsi="Times New Roman" w:cs="Times New Roman"/>
          <w:snapToGrid w:val="0"/>
          <w:szCs w:val="28"/>
        </w:rPr>
        <w:t>泸县战旗石材厂</w:t>
      </w:r>
      <w:r>
        <w:rPr>
          <w:rFonts w:hint="default" w:ascii="Times New Roman" w:hAnsi="Times New Roman" w:cs="Times New Roman"/>
          <w:szCs w:val="28"/>
        </w:rPr>
        <w:t>矿区范围内已形成长约260米，宽约95米的多个台阶，面积约0.0225km²，已累计开采动用资源量21.70万吨，矿山已建成完整的生产及加工系统。</w:t>
      </w:r>
      <w:r>
        <w:rPr>
          <w:rFonts w:hint="eastAsia" w:ascii="Times New Roman" w:hAnsi="Times New Roman" w:cs="Times New Roman"/>
          <w:color w:val="auto"/>
          <w:szCs w:val="28"/>
          <w:lang w:eastAsia="zh-CN"/>
        </w:rPr>
        <w:t>原</w:t>
      </w:r>
      <w:r>
        <w:rPr>
          <w:rFonts w:hint="default" w:ascii="Times New Roman" w:hAnsi="Times New Roman" w:cs="Times New Roman"/>
          <w:snapToGrid w:val="0"/>
          <w:color w:val="auto"/>
          <w:szCs w:val="28"/>
        </w:rPr>
        <w:t>泸县战旗石材厂</w:t>
      </w:r>
      <w:r>
        <w:rPr>
          <w:rFonts w:hint="eastAsia" w:ascii="Times New Roman" w:hAnsi="Times New Roman" w:cs="Times New Roman"/>
          <w:snapToGrid w:val="0"/>
          <w:color w:val="auto"/>
          <w:szCs w:val="28"/>
          <w:lang w:eastAsia="zh-CN"/>
        </w:rPr>
        <w:t>已办理环评手续，《</w:t>
      </w:r>
      <w:r>
        <w:rPr>
          <w:rFonts w:hint="default" w:ascii="Times New Roman" w:hAnsi="Times New Roman" w:cs="Times New Roman"/>
          <w:snapToGrid w:val="0"/>
          <w:color w:val="auto"/>
          <w:szCs w:val="28"/>
        </w:rPr>
        <w:t>泸县战旗石材厂</w:t>
      </w:r>
      <w:r>
        <w:rPr>
          <w:rFonts w:hint="eastAsia" w:ascii="Times New Roman" w:hAnsi="Times New Roman" w:cs="Times New Roman"/>
          <w:snapToGrid w:val="0"/>
          <w:color w:val="auto"/>
          <w:szCs w:val="28"/>
          <w:lang w:eastAsia="zh-CN"/>
        </w:rPr>
        <w:t>建设项目环境影响报告表》包含战旗石材厂加工区以及开采区的建设，该项目已于</w:t>
      </w:r>
      <w:r>
        <w:rPr>
          <w:rFonts w:hint="eastAsia" w:ascii="Times New Roman" w:hAnsi="Times New Roman" w:cs="Times New Roman"/>
          <w:snapToGrid w:val="0"/>
          <w:color w:val="auto"/>
          <w:szCs w:val="28"/>
          <w:lang w:val="en-US" w:eastAsia="zh-CN"/>
        </w:rPr>
        <w:t>2016年6月28日</w:t>
      </w:r>
      <w:r>
        <w:rPr>
          <w:rFonts w:hint="eastAsia" w:ascii="Times New Roman" w:hAnsi="Times New Roman" w:cs="Times New Roman"/>
          <w:snapToGrid w:val="0"/>
          <w:color w:val="auto"/>
          <w:szCs w:val="28"/>
          <w:lang w:eastAsia="zh-CN"/>
        </w:rPr>
        <w:t>取得泸县环境保护局出具的环评批复（泸县环建审〔</w:t>
      </w:r>
      <w:r>
        <w:rPr>
          <w:rFonts w:hint="eastAsia" w:ascii="Times New Roman" w:hAnsi="Times New Roman" w:cs="Times New Roman"/>
          <w:snapToGrid w:val="0"/>
          <w:color w:val="auto"/>
          <w:szCs w:val="28"/>
          <w:lang w:val="en-US" w:eastAsia="zh-CN"/>
        </w:rPr>
        <w:t>2016</w:t>
      </w:r>
      <w:r>
        <w:rPr>
          <w:rFonts w:hint="eastAsia" w:ascii="Times New Roman" w:hAnsi="Times New Roman" w:cs="Times New Roman"/>
          <w:snapToGrid w:val="0"/>
          <w:color w:val="auto"/>
          <w:szCs w:val="28"/>
          <w:lang w:eastAsia="zh-CN"/>
        </w:rPr>
        <w:t>〕</w:t>
      </w:r>
      <w:r>
        <w:rPr>
          <w:rFonts w:hint="eastAsia" w:ascii="Times New Roman" w:hAnsi="Times New Roman" w:cs="Times New Roman"/>
          <w:snapToGrid w:val="0"/>
          <w:color w:val="auto"/>
          <w:szCs w:val="28"/>
          <w:lang w:val="en-US" w:eastAsia="zh-CN"/>
        </w:rPr>
        <w:t>18号</w:t>
      </w:r>
      <w:r>
        <w:rPr>
          <w:rFonts w:hint="eastAsia" w:ascii="Times New Roman" w:hAnsi="Times New Roman" w:cs="Times New Roman"/>
          <w:snapToGrid w:val="0"/>
          <w:color w:val="auto"/>
          <w:szCs w:val="28"/>
          <w:lang w:eastAsia="zh-CN"/>
        </w:rPr>
        <w:t>）。</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outlineLvl w:val="9"/>
        <w:rPr>
          <w:rFonts w:hint="default" w:ascii="Times New Roman" w:hAnsi="Times New Roman" w:eastAsia="宋体" w:cs="Times New Roman"/>
          <w:color w:val="auto"/>
          <w:szCs w:val="24"/>
          <w:lang w:eastAsia="zh-CN"/>
        </w:rPr>
      </w:pPr>
      <w:r>
        <w:rPr>
          <w:rFonts w:hint="default" w:ascii="Times New Roman" w:hAnsi="Times New Roman" w:eastAsia="宋体" w:cs="Times New Roman"/>
          <w:b w:val="0"/>
          <w:bCs/>
          <w:color w:val="auto"/>
          <w:szCs w:val="28"/>
          <w:lang w:eastAsia="zh-CN"/>
        </w:rPr>
        <w:t>原</w:t>
      </w:r>
      <w:r>
        <w:rPr>
          <w:rFonts w:hint="default" w:ascii="Times New Roman" w:hAnsi="Times New Roman" w:eastAsia="宋体" w:cs="Times New Roman"/>
          <w:b w:val="0"/>
          <w:bCs/>
          <w:color w:val="auto"/>
          <w:szCs w:val="28"/>
        </w:rPr>
        <w:t>泸县云龙镇万得路石厂</w:t>
      </w:r>
      <w:r>
        <w:rPr>
          <w:rFonts w:hint="default" w:ascii="Times New Roman" w:hAnsi="Times New Roman" w:eastAsia="宋体" w:cs="Times New Roman"/>
          <w:color w:val="auto"/>
          <w:kern w:val="2"/>
          <w:szCs w:val="28"/>
        </w:rPr>
        <w:t>于2016年7月8日在泸县国土资源局延续采矿许可证，</w:t>
      </w:r>
      <w:r>
        <w:rPr>
          <w:rFonts w:hint="default" w:ascii="Times New Roman" w:hAnsi="Times New Roman" w:eastAsia="宋体" w:cs="Times New Roman"/>
          <w:color w:val="auto"/>
          <w:szCs w:val="28"/>
        </w:rPr>
        <w:t>采矿权人：</w:t>
      </w:r>
      <w:r>
        <w:rPr>
          <w:rFonts w:hint="default" w:ascii="Times New Roman" w:hAnsi="Times New Roman" w:eastAsia="宋体" w:cs="Times New Roman"/>
          <w:color w:val="auto"/>
        </w:rPr>
        <w:t>泸县云龙镇万得路石厂(陈怀均)</w:t>
      </w:r>
      <w:r>
        <w:rPr>
          <w:rFonts w:hint="default" w:ascii="Times New Roman" w:hAnsi="Times New Roman" w:eastAsia="宋体" w:cs="Times New Roman"/>
          <w:color w:val="auto"/>
          <w:szCs w:val="28"/>
        </w:rPr>
        <w:t>，属</w:t>
      </w:r>
      <w:r>
        <w:rPr>
          <w:rFonts w:hint="default" w:ascii="Times New Roman" w:hAnsi="Times New Roman" w:eastAsia="宋体" w:cs="Times New Roman"/>
          <w:color w:val="auto"/>
        </w:rPr>
        <w:t>私营合伙企业，</w:t>
      </w:r>
      <w:r>
        <w:rPr>
          <w:rFonts w:hint="default" w:ascii="Times New Roman" w:hAnsi="Times New Roman" w:eastAsia="宋体" w:cs="Times New Roman"/>
          <w:color w:val="auto"/>
          <w:szCs w:val="28"/>
        </w:rPr>
        <w:t>法定代表人：</w:t>
      </w:r>
      <w:r>
        <w:rPr>
          <w:rFonts w:hint="default" w:ascii="Times New Roman" w:hAnsi="Times New Roman" w:eastAsia="宋体" w:cs="Times New Roman"/>
          <w:color w:val="auto"/>
        </w:rPr>
        <w:t>陈怀均</w:t>
      </w:r>
      <w:r>
        <w:rPr>
          <w:rFonts w:hint="default" w:ascii="Times New Roman" w:hAnsi="Times New Roman" w:eastAsia="宋体" w:cs="Times New Roman"/>
          <w:color w:val="auto"/>
          <w:szCs w:val="28"/>
        </w:rPr>
        <w:t>，采矿许可证号：</w:t>
      </w:r>
      <w:r>
        <w:rPr>
          <w:rFonts w:hint="default" w:ascii="Times New Roman" w:hAnsi="Times New Roman" w:eastAsia="宋体" w:cs="Times New Roman"/>
          <w:color w:val="auto"/>
        </w:rPr>
        <w:t>C5105212010117130080940</w:t>
      </w:r>
      <w:r>
        <w:rPr>
          <w:rFonts w:hint="default" w:ascii="Times New Roman" w:hAnsi="Times New Roman" w:eastAsia="宋体" w:cs="Times New Roman"/>
          <w:color w:val="auto"/>
          <w:szCs w:val="28"/>
        </w:rPr>
        <w:t>，有效期: 2016年7月8日～2017年7月8日，矿区范围由4个拐点圈闭，矿区面积：0.00</w:t>
      </w:r>
      <w:r>
        <w:rPr>
          <w:rFonts w:hint="default" w:ascii="Times New Roman" w:hAnsi="Times New Roman" w:eastAsia="宋体" w:cs="Times New Roman"/>
          <w:color w:val="auto"/>
          <w:szCs w:val="28"/>
          <w:lang w:val="en-US" w:eastAsia="zh-CN"/>
        </w:rPr>
        <w:t>34</w:t>
      </w:r>
      <w:r>
        <w:rPr>
          <w:rFonts w:hint="default" w:ascii="Times New Roman" w:hAnsi="Times New Roman" w:eastAsia="宋体" w:cs="Times New Roman"/>
          <w:snapToGrid w:val="0"/>
          <w:color w:val="auto"/>
          <w:szCs w:val="28"/>
        </w:rPr>
        <w:t>km</w:t>
      </w:r>
      <w:r>
        <w:rPr>
          <w:rFonts w:hint="default" w:ascii="Times New Roman" w:hAnsi="Times New Roman" w:eastAsia="宋体" w:cs="Times New Roman"/>
          <w:snapToGrid w:val="0"/>
          <w:color w:val="auto"/>
          <w:szCs w:val="28"/>
          <w:vertAlign w:val="superscript"/>
        </w:rPr>
        <w:t>2</w:t>
      </w:r>
      <w:r>
        <w:rPr>
          <w:rFonts w:hint="default" w:ascii="Times New Roman" w:hAnsi="Times New Roman" w:eastAsia="宋体" w:cs="Times New Roman"/>
          <w:color w:val="auto"/>
          <w:szCs w:val="28"/>
        </w:rPr>
        <w:t>，开采矿种：砂岩，开采深度：+360m～+346m，生产规模1.00万吨/年，开采方式：露天开采</w:t>
      </w:r>
      <w:r>
        <w:rPr>
          <w:rFonts w:hint="default" w:ascii="Times New Roman" w:hAnsi="Times New Roman" w:eastAsia="宋体" w:cs="Times New Roman"/>
          <w:color w:val="auto"/>
          <w:szCs w:val="28"/>
          <w:lang w:eastAsia="zh-CN"/>
        </w:rPr>
        <w:t>。根据现场勘查，原</w:t>
      </w:r>
      <w:r>
        <w:rPr>
          <w:rFonts w:hint="default" w:ascii="Times New Roman" w:hAnsi="Times New Roman" w:cs="Times New Roman"/>
          <w:color w:val="auto"/>
          <w:szCs w:val="28"/>
        </w:rPr>
        <w:t>泸县云龙镇万得路石厂矿区范围内已形成长约120米，宽约40米的开采面，面积约0.0048km²，已累计开采动用资源量2.84万吨，</w:t>
      </w:r>
      <w:r>
        <w:rPr>
          <w:rFonts w:hint="default" w:ascii="Times New Roman" w:hAnsi="Times New Roman" w:cs="Times New Roman"/>
          <w:snapToGrid w:val="0"/>
          <w:color w:val="auto"/>
          <w:szCs w:val="28"/>
        </w:rPr>
        <w:t>矿山从2013年5月11日（泸县桃子沟煤矿瓦斯事故）至今未进行开采</w:t>
      </w:r>
      <w:r>
        <w:rPr>
          <w:rFonts w:hint="default" w:ascii="Times New Roman" w:hAnsi="Times New Roman" w:cs="Times New Roman"/>
          <w:snapToGrid w:val="0"/>
          <w:color w:val="auto"/>
          <w:szCs w:val="28"/>
          <w:lang w:eastAsia="zh-CN"/>
        </w:rPr>
        <w:t>。</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outlineLvl w:val="9"/>
        <w:rPr>
          <w:rFonts w:hint="default" w:ascii="Times New Roman" w:hAnsi="Times New Roman" w:cs="Times New Roman"/>
          <w:b w:val="0"/>
          <w:bCs/>
          <w:szCs w:val="28"/>
          <w:lang w:eastAsia="zh-CN"/>
        </w:rPr>
      </w:pPr>
      <w:r>
        <w:rPr>
          <w:rFonts w:hint="default" w:ascii="Times New Roman" w:hAnsi="Times New Roman" w:cs="Times New Roman"/>
          <w:color w:val="auto"/>
          <w:szCs w:val="28"/>
        </w:rPr>
        <w:t>随着泸县县城基础设施建设以及矿山周边新农村建设对建筑用砂岩需求量不断加大，泸县战旗石材厂迫切需要增划建筑用砂岩矿资源</w:t>
      </w:r>
      <w:r>
        <w:rPr>
          <w:rFonts w:hint="default" w:ascii="Times New Roman" w:hAnsi="Times New Roman" w:cs="Times New Roman"/>
          <w:color w:val="auto"/>
          <w:szCs w:val="28"/>
          <w:lang w:eastAsia="zh-CN"/>
        </w:rPr>
        <w:t>，</w:t>
      </w:r>
      <w:r>
        <w:rPr>
          <w:rFonts w:hint="default" w:ascii="Times New Roman" w:hAnsi="Times New Roman" w:eastAsia="宋体" w:cs="Times New Roman"/>
          <w:color w:val="auto"/>
          <w:szCs w:val="28"/>
        </w:rPr>
        <w:t>根据四川省国土资源厅关于《四川省泸州市泸县矿业权设置方案(非34个重要矿种)的批复》“川国土资函［2014］697号”文，泸县战旗石材厂为已设采矿权整合类型，</w:t>
      </w:r>
      <w:r>
        <w:rPr>
          <w:rFonts w:hint="default" w:ascii="Times New Roman" w:hAnsi="Times New Roman" w:eastAsia="宋体" w:cs="Times New Roman"/>
          <w:color w:val="auto"/>
          <w:szCs w:val="28"/>
          <w:lang w:eastAsia="zh-CN"/>
        </w:rPr>
        <w:t>本项目</w:t>
      </w:r>
      <w:r>
        <w:rPr>
          <w:rFonts w:hint="default" w:ascii="Times New Roman" w:hAnsi="Times New Roman" w:eastAsia="宋体" w:cs="Times New Roman"/>
          <w:color w:val="auto"/>
          <w:szCs w:val="28"/>
        </w:rPr>
        <w:t>以泸县战旗石材厂为主体矿山与泸县云龙镇万得路石厂进行整合，整合关闭泸县云龙镇万得路石厂，同时将周边可供开发利用的资源增加调整至本矿范围</w:t>
      </w:r>
      <w:r>
        <w:rPr>
          <w:rFonts w:hint="default" w:ascii="Times New Roman" w:hAnsi="Times New Roman" w:eastAsia="宋体" w:cs="Times New Roman"/>
          <w:color w:val="auto"/>
          <w:szCs w:val="28"/>
          <w:lang w:eastAsia="zh-CN"/>
        </w:rPr>
        <w:t>，在泸县云龙镇战旗村</w:t>
      </w:r>
      <w:r>
        <w:rPr>
          <w:rFonts w:hint="default" w:ascii="Times New Roman" w:hAnsi="Times New Roman" w:cs="Times New Roman"/>
          <w:b w:val="0"/>
          <w:bCs/>
          <w:color w:val="auto"/>
          <w:szCs w:val="28"/>
          <w:lang w:eastAsia="zh-CN"/>
        </w:rPr>
        <w:t>新设置一个砂岩矿采矿权。</w:t>
      </w:r>
      <w:r>
        <w:rPr>
          <w:rFonts w:hint="eastAsia" w:ascii="宋体" w:hAnsi="宋体"/>
          <w:color w:val="auto"/>
          <w:szCs w:val="28"/>
        </w:rPr>
        <w:t>矿山中</w:t>
      </w:r>
      <w:r>
        <w:rPr>
          <w:rFonts w:hint="default" w:ascii="Times New Roman" w:hAnsi="Times New Roman" w:cs="Times New Roman"/>
          <w:color w:val="auto"/>
          <w:szCs w:val="28"/>
        </w:rPr>
        <w:t>心点地理坐标：东经105</w:t>
      </w:r>
      <w:r>
        <w:rPr>
          <w:rFonts w:hint="default" w:ascii="Times New Roman" w:hAnsi="Times New Roman" w:cs="Times New Roman"/>
          <w:color w:val="auto"/>
        </w:rPr>
        <w:t>°</w:t>
      </w:r>
      <w:r>
        <w:rPr>
          <w:rFonts w:hint="default" w:ascii="Times New Roman" w:hAnsi="Times New Roman" w:cs="Times New Roman"/>
          <w:color w:val="auto"/>
          <w:szCs w:val="28"/>
        </w:rPr>
        <w:t>30</w:t>
      </w:r>
      <w:r>
        <w:rPr>
          <w:rFonts w:hint="default" w:ascii="Times New Roman" w:hAnsi="Times New Roman" w:cs="Times New Roman"/>
          <w:color w:val="auto"/>
        </w:rPr>
        <w:t>′</w:t>
      </w:r>
      <w:r>
        <w:rPr>
          <w:rFonts w:hint="default" w:ascii="Times New Roman" w:hAnsi="Times New Roman" w:cs="Times New Roman"/>
          <w:color w:val="auto"/>
          <w:szCs w:val="28"/>
        </w:rPr>
        <w:t>57</w:t>
      </w:r>
      <w:r>
        <w:rPr>
          <w:rFonts w:hint="default" w:ascii="Times New Roman" w:hAnsi="Times New Roman" w:cs="Times New Roman"/>
          <w:color w:val="auto"/>
        </w:rPr>
        <w:t>″</w:t>
      </w:r>
      <w:r>
        <w:rPr>
          <w:rFonts w:hint="default" w:ascii="Times New Roman" w:hAnsi="Times New Roman" w:cs="Times New Roman"/>
          <w:color w:val="auto"/>
          <w:szCs w:val="28"/>
        </w:rPr>
        <w:t>，北纬29</w:t>
      </w:r>
      <w:r>
        <w:rPr>
          <w:rFonts w:hint="default" w:ascii="Times New Roman" w:hAnsi="Times New Roman" w:cs="Times New Roman"/>
          <w:color w:val="auto"/>
        </w:rPr>
        <w:t>°</w:t>
      </w:r>
      <w:r>
        <w:rPr>
          <w:rFonts w:hint="default" w:ascii="Times New Roman" w:hAnsi="Times New Roman" w:cs="Times New Roman"/>
          <w:color w:val="auto"/>
          <w:szCs w:val="28"/>
        </w:rPr>
        <w:t>03</w:t>
      </w:r>
      <w:r>
        <w:rPr>
          <w:rFonts w:hint="default" w:ascii="Times New Roman" w:hAnsi="Times New Roman" w:cs="Times New Roman"/>
          <w:color w:val="auto"/>
        </w:rPr>
        <w:t>′</w:t>
      </w:r>
      <w:r>
        <w:rPr>
          <w:rFonts w:hint="default" w:ascii="Times New Roman" w:hAnsi="Times New Roman" w:cs="Times New Roman"/>
          <w:color w:val="auto"/>
          <w:szCs w:val="28"/>
        </w:rPr>
        <w:t>16</w:t>
      </w:r>
      <w:r>
        <w:rPr>
          <w:rFonts w:hint="default" w:ascii="Times New Roman" w:hAnsi="Times New Roman" w:cs="Times New Roman"/>
          <w:color w:val="auto"/>
        </w:rPr>
        <w:t>″</w:t>
      </w:r>
      <w:r>
        <w:rPr>
          <w:rFonts w:hint="default" w:ascii="Times New Roman" w:hAnsi="Times New Roman" w:cs="Times New Roman"/>
          <w:color w:val="auto"/>
          <w:lang w:eastAsia="zh-CN"/>
        </w:rPr>
        <w:t>，</w:t>
      </w:r>
      <w:r>
        <w:rPr>
          <w:rFonts w:hint="default" w:ascii="Times New Roman" w:hAnsi="Times New Roman" w:cs="Times New Roman"/>
          <w:color w:val="auto"/>
          <w:szCs w:val="28"/>
        </w:rPr>
        <w:t>直角坐标为：X=</w:t>
      </w:r>
      <w:r>
        <w:rPr>
          <w:rFonts w:hint="default" w:ascii="Times New Roman" w:hAnsi="Times New Roman" w:cs="Times New Roman"/>
          <w:color w:val="auto"/>
        </w:rPr>
        <w:t xml:space="preserve"> 3215485 </w:t>
      </w:r>
      <w:r>
        <w:rPr>
          <w:rFonts w:hint="default" w:ascii="Times New Roman" w:hAnsi="Times New Roman" w:cs="Times New Roman"/>
          <w:color w:val="auto"/>
          <w:szCs w:val="28"/>
        </w:rPr>
        <w:t>m，Y=</w:t>
      </w:r>
      <w:r>
        <w:rPr>
          <w:rFonts w:hint="default" w:ascii="Times New Roman" w:hAnsi="Times New Roman" w:cs="Times New Roman"/>
          <w:color w:val="auto"/>
        </w:rPr>
        <w:t xml:space="preserve"> 35550240 </w:t>
      </w:r>
      <w:r>
        <w:rPr>
          <w:rFonts w:hint="default" w:ascii="Times New Roman" w:hAnsi="Times New Roman" w:cs="Times New Roman"/>
          <w:color w:val="auto"/>
          <w:szCs w:val="28"/>
        </w:rPr>
        <w:t>m</w:t>
      </w:r>
      <w:r>
        <w:rPr>
          <w:rFonts w:hint="default" w:ascii="Times New Roman" w:hAnsi="Times New Roman" w:cs="Times New Roman"/>
          <w:color w:val="auto"/>
          <w:szCs w:val="21"/>
          <w:lang w:val="en-US" w:eastAsia="zh-CN"/>
        </w:rPr>
        <w:t>；</w:t>
      </w:r>
      <w:r>
        <w:rPr>
          <w:rFonts w:hint="default" w:ascii="Times New Roman" w:hAnsi="Times New Roman" w:cs="Times New Roman"/>
          <w:b w:val="0"/>
          <w:bCs/>
          <w:color w:val="auto"/>
          <w:szCs w:val="28"/>
          <w:lang w:eastAsia="zh-CN"/>
        </w:rPr>
        <w:t>划定</w:t>
      </w:r>
      <w:r>
        <w:rPr>
          <w:rFonts w:hint="default" w:ascii="Times New Roman" w:hAnsi="Times New Roman" w:cs="Times New Roman"/>
          <w:b w:val="0"/>
          <w:bCs/>
          <w:color w:val="auto"/>
          <w:szCs w:val="28"/>
        </w:rPr>
        <w:t>矿区范围由12个拐点圈闭</w:t>
      </w:r>
      <w:r>
        <w:rPr>
          <w:rFonts w:hint="eastAsia" w:ascii="Times New Roman" w:hAnsi="Times New Roman" w:cs="Times New Roman"/>
          <w:b w:val="0"/>
          <w:bCs/>
          <w:color w:val="auto"/>
          <w:szCs w:val="28"/>
          <w:lang w:eastAsia="zh-CN"/>
        </w:rPr>
        <w:t>（具体拐点坐标见表</w:t>
      </w:r>
      <w:r>
        <w:rPr>
          <w:rFonts w:hint="eastAsia" w:ascii="Times New Roman" w:hAnsi="Times New Roman" w:cs="Times New Roman"/>
          <w:b w:val="0"/>
          <w:bCs/>
          <w:color w:val="auto"/>
          <w:szCs w:val="28"/>
          <w:lang w:val="en-US" w:eastAsia="zh-CN"/>
        </w:rPr>
        <w:t>1</w:t>
      </w:r>
      <w:r>
        <w:rPr>
          <w:rFonts w:hint="eastAsia" w:ascii="Times New Roman" w:hAnsi="Times New Roman" w:cs="Times New Roman"/>
          <w:b w:val="0"/>
          <w:bCs/>
          <w:color w:val="auto"/>
          <w:szCs w:val="28"/>
          <w:lang w:eastAsia="zh-CN"/>
        </w:rPr>
        <w:t>）</w:t>
      </w:r>
      <w:r>
        <w:rPr>
          <w:rFonts w:hint="default" w:ascii="Times New Roman" w:hAnsi="Times New Roman" w:cs="Times New Roman"/>
          <w:b w:val="0"/>
          <w:bCs/>
          <w:color w:val="auto"/>
          <w:szCs w:val="28"/>
        </w:rPr>
        <w:t>，矿区面积：0.0730km</w:t>
      </w:r>
      <w:r>
        <w:rPr>
          <w:rFonts w:hint="default" w:ascii="Times New Roman" w:hAnsi="Times New Roman" w:cs="Times New Roman"/>
          <w:b w:val="0"/>
          <w:bCs/>
          <w:color w:val="auto"/>
          <w:szCs w:val="28"/>
          <w:vertAlign w:val="superscript"/>
        </w:rPr>
        <w:t>2</w:t>
      </w:r>
      <w:r>
        <w:rPr>
          <w:rFonts w:hint="default" w:ascii="Times New Roman" w:hAnsi="Times New Roman" w:cs="Times New Roman"/>
          <w:b w:val="0"/>
          <w:bCs/>
          <w:color w:val="auto"/>
          <w:szCs w:val="28"/>
        </w:rPr>
        <w:t>，开采深度：+371m～+325m，</w:t>
      </w:r>
      <w:r>
        <w:rPr>
          <w:rFonts w:hint="default" w:ascii="Times New Roman" w:hAnsi="Times New Roman" w:cs="Times New Roman"/>
          <w:b w:val="0"/>
          <w:bCs/>
          <w:szCs w:val="28"/>
        </w:rPr>
        <w:t>开采矿种：建筑用砂岩，拟设生产规模10万吨/年；矿区范围内无矿业权重叠，基本符合矿业权设置方案和矿山开采实际情况</w:t>
      </w:r>
      <w:r>
        <w:rPr>
          <w:rFonts w:hint="default" w:ascii="Times New Roman" w:hAnsi="Times New Roman" w:cs="Times New Roman"/>
          <w:b w:val="0"/>
          <w:bCs/>
          <w:szCs w:val="28"/>
          <w:lang w:eastAsia="zh-CN"/>
        </w:rPr>
        <w:t>。</w:t>
      </w:r>
    </w:p>
    <w:p>
      <w:pPr>
        <w:keepNext w:val="0"/>
        <w:keepLines w:val="0"/>
        <w:pageBreakBefore w:val="0"/>
        <w:kinsoku/>
        <w:wordWrap/>
        <w:overflowPunct/>
        <w:topLinePunct w:val="0"/>
        <w:autoSpaceDE/>
        <w:autoSpaceDN/>
        <w:bidi w:val="0"/>
        <w:adjustRightInd/>
        <w:snapToGrid/>
        <w:spacing w:line="500" w:lineRule="exact"/>
        <w:jc w:val="center"/>
        <w:textAlignment w:val="auto"/>
        <w:outlineLvl w:val="9"/>
        <w:rPr>
          <w:rFonts w:hint="default" w:ascii="Times New Roman" w:hAnsi="Times New Roman" w:cs="Times New Roman"/>
          <w:b/>
          <w:bCs w:val="0"/>
          <w:sz w:val="21"/>
          <w:szCs w:val="21"/>
          <w:lang w:val="en-US" w:eastAsia="zh-CN"/>
        </w:rPr>
      </w:pPr>
      <w:r>
        <w:rPr>
          <w:rFonts w:hint="default" w:ascii="Times New Roman" w:hAnsi="Times New Roman" w:cs="Times New Roman"/>
          <w:b/>
          <w:bCs w:val="0"/>
          <w:sz w:val="21"/>
          <w:szCs w:val="21"/>
          <w:lang w:eastAsia="zh-CN"/>
        </w:rPr>
        <w:t>表</w:t>
      </w:r>
      <w:r>
        <w:rPr>
          <w:rFonts w:hint="default" w:ascii="Times New Roman" w:hAnsi="Times New Roman" w:cs="Times New Roman"/>
          <w:b/>
          <w:bCs w:val="0"/>
          <w:sz w:val="21"/>
          <w:szCs w:val="21"/>
          <w:lang w:val="en-US" w:eastAsia="zh-CN"/>
        </w:rPr>
        <w:t>1   矿区范围</w:t>
      </w:r>
      <w:r>
        <w:rPr>
          <w:rFonts w:hint="default" w:ascii="Times New Roman" w:hAnsi="Times New Roman" w:cs="Times New Roman"/>
          <w:b/>
          <w:bCs w:val="0"/>
          <w:color w:val="000000"/>
          <w:sz w:val="21"/>
          <w:szCs w:val="21"/>
        </w:rPr>
        <w:t>拐点坐标表(80西安坐标)</w:t>
      </w:r>
    </w:p>
    <w:tbl>
      <w:tblPr>
        <w:tblStyle w:val="13"/>
        <w:tblW w:w="8522" w:type="dxa"/>
        <w:jc w:val="center"/>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21"/>
        <w:gridCol w:w="1546"/>
        <w:gridCol w:w="1497"/>
        <w:gridCol w:w="1266"/>
        <w:gridCol w:w="1380"/>
        <w:gridCol w:w="151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拐点</w:t>
            </w:r>
          </w:p>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编号</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X</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Y</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拐点</w:t>
            </w:r>
          </w:p>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编号</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X</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Y</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1</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3215401.01</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35549927.40</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7</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3215614.49</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35550335.52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2</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3215440.25</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35549941.81</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8</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3215520.09</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35550410.97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3215540.78</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35550179.76</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9</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3215400.00</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35550422.20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4</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3215574.30</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35550185.82</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10</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3215340.40</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35550223.70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5</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3215595.95</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35550241.60</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11</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3215396.01</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35550211.42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21"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6</w:t>
            </w:r>
          </w:p>
        </w:tc>
        <w:tc>
          <w:tcPr>
            <w:tcW w:w="154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3215566.59</w:t>
            </w:r>
          </w:p>
        </w:tc>
        <w:tc>
          <w:tcPr>
            <w:tcW w:w="1497"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35550295.94</w:t>
            </w:r>
          </w:p>
        </w:tc>
        <w:tc>
          <w:tcPr>
            <w:tcW w:w="1266"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12</w:t>
            </w:r>
          </w:p>
        </w:tc>
        <w:tc>
          <w:tcPr>
            <w:tcW w:w="1380"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3215383.22</w:t>
            </w:r>
          </w:p>
        </w:tc>
        <w:tc>
          <w:tcPr>
            <w:tcW w:w="1512" w:type="dxa"/>
            <w:tcBorders>
              <w:tl2br w:val="nil"/>
              <w:tr2bl w:val="nil"/>
            </w:tcBorders>
            <w:vAlign w:val="center"/>
          </w:tcPr>
          <w:p>
            <w:pPr>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Times New Roman" w:hAnsi="Times New Roman" w:cs="Times New Roman"/>
                <w:sz w:val="21"/>
                <w:szCs w:val="21"/>
              </w:rPr>
            </w:pPr>
            <w:r>
              <w:rPr>
                <w:rFonts w:hint="default" w:ascii="Times New Roman" w:hAnsi="Times New Roman" w:cs="Times New Roman"/>
                <w:sz w:val="21"/>
                <w:szCs w:val="21"/>
              </w:rPr>
              <w:t>35549954.24</w:t>
            </w:r>
          </w:p>
        </w:tc>
      </w:tr>
    </w:tbl>
    <w:p>
      <w:pPr>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outlineLvl w:val="9"/>
      </w:pPr>
      <w:r>
        <w:rPr>
          <w:rFonts w:hint="eastAsia"/>
          <w:lang w:eastAsia="zh-CN"/>
        </w:rPr>
        <w:t>泸县战旗石材厂</w:t>
      </w:r>
      <w:r>
        <w:rPr>
          <w:rFonts w:hint="eastAsia"/>
        </w:rPr>
        <w:t>严格</w:t>
      </w:r>
      <w:r>
        <w:t>按照</w:t>
      </w:r>
      <w:r>
        <w:rPr>
          <w:rFonts w:hint="eastAsia"/>
        </w:rPr>
        <w:t>《环境影响评价公众参与暂行办法》的要求，在</w:t>
      </w:r>
      <w:r>
        <w:t>环评过程开展中</w:t>
      </w:r>
      <w:r>
        <w:rPr>
          <w:rFonts w:hint="eastAsia"/>
        </w:rPr>
        <w:t>采取了网上公示</w:t>
      </w:r>
      <w:r>
        <w:t>、现场问卷调查工作</w:t>
      </w:r>
      <w:r>
        <w:rPr>
          <w:rFonts w:hint="eastAsia" w:ascii="宋体" w:hAnsi="Calibri" w:cs="宋体"/>
          <w:kern w:val="0"/>
          <w:szCs w:val="24"/>
        </w:rPr>
        <w:t>等多种形式开展众参与。</w:t>
      </w:r>
    </w:p>
    <w:p>
      <w:pPr>
        <w:ind w:firstLine="480"/>
        <w:rPr>
          <w:rFonts w:ascii="宋体" w:cs="宋体"/>
        </w:rPr>
      </w:pPr>
      <w:r>
        <w:rPr>
          <w:rFonts w:hint="eastAsia"/>
        </w:rPr>
        <w:t>在</w:t>
      </w:r>
      <w:r>
        <w:t>确定评价单位后的</w:t>
      </w:r>
      <w:r>
        <w:rPr>
          <w:rFonts w:hint="eastAsia"/>
        </w:rPr>
        <w:t>7个</w:t>
      </w:r>
      <w:r>
        <w:t>工作日内，2018</w:t>
      </w:r>
      <w:r>
        <w:rPr>
          <w:rFonts w:hint="eastAsia" w:ascii="宋体" w:cs="宋体"/>
        </w:rPr>
        <w:t>年</w:t>
      </w:r>
      <w:r>
        <w:rPr>
          <w:rFonts w:hint="eastAsia"/>
          <w:lang w:val="en-US" w:eastAsia="zh-CN"/>
        </w:rPr>
        <w:t>9</w:t>
      </w:r>
      <w:r>
        <w:rPr>
          <w:rFonts w:hint="eastAsia" w:ascii="宋体" w:cs="宋体"/>
        </w:rPr>
        <w:t>月</w:t>
      </w:r>
      <w:r>
        <w:t>2</w:t>
      </w:r>
      <w:r>
        <w:rPr>
          <w:rFonts w:hint="eastAsia"/>
          <w:lang w:val="en-US" w:eastAsia="zh-CN"/>
        </w:rPr>
        <w:t>1</w:t>
      </w:r>
      <w:r>
        <w:rPr>
          <w:rFonts w:hint="eastAsia" w:ascii="宋体" w:cs="宋体"/>
        </w:rPr>
        <w:t>日，</w:t>
      </w:r>
      <w:r>
        <w:rPr>
          <w:rFonts w:ascii="宋体" w:cs="宋体"/>
        </w:rPr>
        <w:t>我公司</w:t>
      </w:r>
      <w:r>
        <w:rPr>
          <w:rFonts w:hint="eastAsia" w:ascii="宋体" w:cs="宋体"/>
        </w:rPr>
        <w:t>在</w:t>
      </w:r>
      <w:r>
        <w:rPr>
          <w:rFonts w:hint="eastAsia" w:ascii="宋体" w:cs="宋体"/>
          <w:lang w:eastAsia="zh-CN"/>
        </w:rPr>
        <w:t>泸州市人民</w:t>
      </w:r>
      <w:r>
        <w:rPr>
          <w:rFonts w:hint="eastAsia" w:ascii="宋体" w:cs="宋体"/>
        </w:rPr>
        <w:t>政府</w:t>
      </w:r>
      <w:r>
        <w:rPr>
          <w:rFonts w:ascii="宋体" w:cs="宋体"/>
        </w:rPr>
        <w:t>网上</w:t>
      </w:r>
      <w:r>
        <w:rPr>
          <w:rFonts w:hint="eastAsia" w:ascii="宋体" w:cs="宋体"/>
        </w:rPr>
        <w:t>发布了第一次环评公示，广泛征求公众意见，</w:t>
      </w:r>
      <w:r>
        <w:rPr>
          <w:rFonts w:hint="eastAsia"/>
        </w:rPr>
        <w:t>公示时间</w:t>
      </w:r>
      <w:r>
        <w:t>10</w:t>
      </w:r>
      <w:r>
        <w:rPr>
          <w:rFonts w:hint="eastAsia"/>
        </w:rPr>
        <w:t>个工作日</w:t>
      </w:r>
      <w:r>
        <w:rPr>
          <w:rFonts w:hint="eastAsia" w:ascii="宋体" w:cs="宋体"/>
        </w:rPr>
        <w:t>。</w:t>
      </w:r>
    </w:p>
    <w:p>
      <w:pPr>
        <w:ind w:firstLine="480"/>
        <w:rPr>
          <w:rFonts w:hint="eastAsia" w:ascii="宋体" w:hAnsi="Calibri" w:cs="宋体"/>
          <w:kern w:val="0"/>
          <w:szCs w:val="24"/>
        </w:rPr>
      </w:pPr>
      <w:r>
        <w:rPr>
          <w:rFonts w:hint="eastAsia"/>
          <w:snapToGrid w:val="0"/>
          <w:kern w:val="24"/>
        </w:rPr>
        <w:t>201</w:t>
      </w:r>
      <w:r>
        <w:rPr>
          <w:snapToGrid w:val="0"/>
          <w:kern w:val="24"/>
        </w:rPr>
        <w:t>8</w:t>
      </w:r>
      <w:r>
        <w:rPr>
          <w:rFonts w:hint="eastAsia"/>
          <w:snapToGrid w:val="0"/>
          <w:kern w:val="24"/>
        </w:rPr>
        <w:t>年</w:t>
      </w:r>
      <w:r>
        <w:rPr>
          <w:rFonts w:hint="eastAsia"/>
          <w:bCs/>
          <w:snapToGrid w:val="0"/>
          <w:kern w:val="24"/>
          <w:lang w:val="en-US" w:eastAsia="zh-CN"/>
        </w:rPr>
        <w:t>10</w:t>
      </w:r>
      <w:r>
        <w:rPr>
          <w:rFonts w:hint="eastAsia"/>
          <w:snapToGrid w:val="0"/>
          <w:kern w:val="24"/>
        </w:rPr>
        <w:t>月</w:t>
      </w:r>
      <w:r>
        <w:rPr>
          <w:rFonts w:hint="eastAsia"/>
          <w:snapToGrid w:val="0"/>
          <w:kern w:val="24"/>
          <w:lang w:val="en-US" w:eastAsia="zh-CN"/>
        </w:rPr>
        <w:t>12</w:t>
      </w:r>
      <w:r>
        <w:rPr>
          <w:rFonts w:hint="eastAsia"/>
          <w:snapToGrid w:val="0"/>
          <w:kern w:val="24"/>
        </w:rPr>
        <w:t>日，在报告书初稿编制完成之后，</w:t>
      </w:r>
      <w:r>
        <w:rPr>
          <w:rFonts w:hint="eastAsia"/>
        </w:rPr>
        <w:t>在</w:t>
      </w:r>
      <w:r>
        <w:rPr>
          <w:rFonts w:hint="eastAsia" w:ascii="宋体" w:cs="宋体"/>
          <w:lang w:eastAsia="zh-CN"/>
        </w:rPr>
        <w:t>泸州市人民</w:t>
      </w:r>
      <w:r>
        <w:rPr>
          <w:rFonts w:hint="eastAsia" w:ascii="宋体" w:cs="宋体"/>
        </w:rPr>
        <w:t>政府</w:t>
      </w:r>
      <w:r>
        <w:rPr>
          <w:rFonts w:ascii="宋体" w:cs="宋体"/>
        </w:rPr>
        <w:t>网</w:t>
      </w:r>
      <w:r>
        <w:rPr>
          <w:rFonts w:hint="eastAsia"/>
          <w:bCs/>
        </w:rPr>
        <w:t>发布</w:t>
      </w:r>
      <w:r>
        <w:rPr>
          <w:bCs/>
        </w:rPr>
        <w:t>了第二次环评公示</w:t>
      </w:r>
      <w:r>
        <w:rPr>
          <w:rFonts w:hint="eastAsia"/>
        </w:rPr>
        <w:t>，公示时间</w:t>
      </w:r>
      <w:r>
        <w:t>10</w:t>
      </w:r>
      <w:r>
        <w:rPr>
          <w:rFonts w:hint="eastAsia"/>
        </w:rPr>
        <w:t>个工作日</w:t>
      </w:r>
      <w:r>
        <w:t>。</w:t>
      </w:r>
      <w:r>
        <w:rPr>
          <w:rFonts w:hint="eastAsia"/>
        </w:rPr>
        <w:t>在</w:t>
      </w:r>
      <w:r>
        <w:t>第二次公示期间，我公司发放</w:t>
      </w:r>
      <w:r>
        <w:rPr>
          <w:rFonts w:hint="eastAsia"/>
        </w:rPr>
        <w:t>了</w:t>
      </w:r>
      <w:r>
        <w:t>调查问卷</w:t>
      </w:r>
      <w:r>
        <w:rPr>
          <w:rFonts w:hint="eastAsia"/>
          <w:lang w:val="en-US" w:eastAsia="zh-CN"/>
        </w:rPr>
        <w:t>5</w:t>
      </w:r>
      <w:r>
        <w:t>0</w:t>
      </w:r>
      <w:r>
        <w:rPr>
          <w:rFonts w:hint="eastAsia"/>
        </w:rPr>
        <w:t>份</w:t>
      </w:r>
      <w:r>
        <w:t>，进行公众调查。</w:t>
      </w:r>
    </w:p>
    <w:p>
      <w:pPr>
        <w:ind w:firstLine="480"/>
        <w:rPr>
          <w:rFonts w:hint="eastAsia"/>
        </w:rPr>
      </w:pPr>
      <w:r>
        <w:rPr>
          <w:rFonts w:hint="eastAsia"/>
        </w:rPr>
        <w:t>两次</w:t>
      </w:r>
      <w:r>
        <w:t>公示期间，未收</w:t>
      </w:r>
      <w:r>
        <w:rPr>
          <w:rFonts w:hint="eastAsia"/>
        </w:rPr>
        <w:t>到公众</w:t>
      </w:r>
      <w:r>
        <w:t>意见。问卷</w:t>
      </w:r>
      <w:r>
        <w:rPr>
          <w:rFonts w:hint="eastAsia"/>
        </w:rPr>
        <w:t>调查</w:t>
      </w:r>
      <w:r>
        <w:t>无反对意见。</w:t>
      </w:r>
    </w:p>
    <w:p>
      <w:pPr>
        <w:ind w:firstLine="480"/>
      </w:pPr>
    </w:p>
    <w:p>
      <w:pPr>
        <w:ind w:firstLine="480"/>
      </w:pPr>
    </w:p>
    <w:p>
      <w:pPr>
        <w:ind w:firstLine="480"/>
      </w:pPr>
    </w:p>
    <w:p>
      <w:pPr>
        <w:ind w:firstLine="480"/>
      </w:pPr>
    </w:p>
    <w:p>
      <w:pPr>
        <w:pStyle w:val="4"/>
        <w:ind w:firstLine="562"/>
      </w:pPr>
      <w:r>
        <w:br w:type="page"/>
      </w:r>
      <w:bookmarkEnd w:id="0"/>
      <w:bookmarkStart w:id="3" w:name="_Toc470699949"/>
      <w:bookmarkStart w:id="4" w:name="_Toc514158382"/>
      <w:bookmarkStart w:id="5" w:name="_Toc511031484"/>
      <w:r>
        <w:rPr>
          <w:rFonts w:hint="eastAsia"/>
        </w:rPr>
        <w:t>公众参与的意义</w:t>
      </w:r>
      <w:bookmarkEnd w:id="3"/>
      <w:r>
        <w:rPr>
          <w:rFonts w:hint="eastAsia"/>
        </w:rPr>
        <w:t>及</w:t>
      </w:r>
      <w:r>
        <w:t>目的</w:t>
      </w:r>
      <w:bookmarkEnd w:id="4"/>
      <w:bookmarkEnd w:id="5"/>
      <w:r>
        <w:t xml:space="preserve"> </w:t>
      </w:r>
    </w:p>
    <w:p>
      <w:pPr>
        <w:pStyle w:val="5"/>
        <w:rPr>
          <w:rFonts w:hint="eastAsia"/>
        </w:rPr>
      </w:pPr>
      <w:bookmarkStart w:id="6" w:name="_Toc514158383"/>
      <w:bookmarkStart w:id="7" w:name="_Toc511031485"/>
      <w:r>
        <w:rPr>
          <w:rFonts w:hint="eastAsia"/>
        </w:rPr>
        <w:t>公众</w:t>
      </w:r>
      <w:r>
        <w:t>参与的</w:t>
      </w:r>
      <w:r>
        <w:rPr>
          <w:rFonts w:hint="eastAsia"/>
        </w:rPr>
        <w:t>意义</w:t>
      </w:r>
      <w:bookmarkEnd w:id="6"/>
      <w:bookmarkEnd w:id="7"/>
    </w:p>
    <w:p>
      <w:pPr>
        <w:ind w:firstLine="480"/>
      </w:pPr>
      <w:r>
        <w:rPr>
          <w:rFonts w:hint="eastAsia"/>
        </w:rPr>
        <w:t>公众参与是环境影响评价的重要部分。一个建设项目的环境影响评价，首先考虑的是对区域环境质量的影响问题，同时，其开发建设对公众的影响也十分重要。因此，公众对项目建设的态度是一个不可忽视的问题。否则，由于忽略这一问题而使公众的利益受到侵害，将对项目建设产生深远的不利影响。所以，应在环境影响评价工作中广泛听取公众的意见和建议，充分考虑受影响公众的利益，尽可能降低对公众利益的不利影响。所以，公众参与在环境影响评价中占有重要的地位。</w:t>
      </w:r>
    </w:p>
    <w:p>
      <w:pPr>
        <w:pStyle w:val="5"/>
      </w:pPr>
      <w:bookmarkStart w:id="8" w:name="_Toc514158384"/>
      <w:bookmarkStart w:id="9" w:name="_Toc470699950"/>
      <w:bookmarkStart w:id="10" w:name="_Toc511031486"/>
      <w:r>
        <w:rPr>
          <w:rFonts w:hint="eastAsia"/>
        </w:rPr>
        <w:t>公众参与的目的</w:t>
      </w:r>
      <w:bookmarkEnd w:id="8"/>
      <w:bookmarkEnd w:id="9"/>
      <w:bookmarkEnd w:id="10"/>
      <w:r>
        <w:t xml:space="preserve"> </w:t>
      </w:r>
    </w:p>
    <w:p>
      <w:pPr>
        <w:ind w:firstLine="480"/>
      </w:pPr>
      <w:r>
        <w:rPr>
          <w:rFonts w:hint="eastAsia" w:hAnsi="Calibri"/>
        </w:rPr>
        <w:t>（</w:t>
      </w:r>
      <w:r>
        <w:t>1</w:t>
      </w:r>
      <w:r>
        <w:rPr>
          <w:rFonts w:hint="eastAsia"/>
        </w:rPr>
        <w:t>）让公众了解项目建设的目的、规模、建设地点及项目建设过程中、建成后可能对项目区带来的各方面影响及拟采取的对策和措施，让公众对其发表意见，以取得公众的理解、支持和合作；</w:t>
      </w:r>
    </w:p>
    <w:p>
      <w:pPr>
        <w:ind w:firstLine="480"/>
      </w:pPr>
      <w:r>
        <w:rPr>
          <w:rFonts w:hint="eastAsia"/>
        </w:rPr>
        <w:t>（</w:t>
      </w:r>
      <w:r>
        <w:t>2</w:t>
      </w:r>
      <w:r>
        <w:rPr>
          <w:rFonts w:hint="eastAsia"/>
        </w:rPr>
        <w:t>）通过公众对项目实施地长期工作、生活环境的亲身体验和直观感受的征询结果，可帮助分析该地区生态环境特征和各环境要素的现状质量水平，以反映环评的客观程度，保护公众的切身利益；</w:t>
      </w:r>
    </w:p>
    <w:p>
      <w:pPr>
        <w:ind w:firstLine="480"/>
      </w:pPr>
      <w:r>
        <w:rPr>
          <w:rFonts w:hint="eastAsia"/>
        </w:rPr>
        <w:t>（</w:t>
      </w:r>
      <w:r>
        <w:t>3</w:t>
      </w:r>
      <w:r>
        <w:rPr>
          <w:rFonts w:hint="eastAsia"/>
        </w:rPr>
        <w:t>）公众对环境影响评价所涉及到的自然生态、经济发展、生活物资价值等资源较为熟悉，用公众参与的形式，邀请他们参与环境保护措施的确认，了解他们的要求，可使环境影响</w:t>
      </w:r>
      <w:r>
        <w:t>评价</w:t>
      </w:r>
      <w:r>
        <w:rPr>
          <w:rFonts w:hint="eastAsia"/>
        </w:rPr>
        <w:t>提出的各项环保措施更加切实可行，更加有效；</w:t>
      </w:r>
    </w:p>
    <w:p>
      <w:pPr>
        <w:ind w:firstLine="480"/>
      </w:pPr>
      <w:r>
        <w:rPr>
          <w:rFonts w:hint="eastAsia"/>
        </w:rPr>
        <w:t>（</w:t>
      </w:r>
      <w:r>
        <w:t>4</w:t>
      </w:r>
      <w:r>
        <w:rPr>
          <w:rFonts w:hint="eastAsia"/>
        </w:rPr>
        <w:t>）使公众有机会参与决策项目建设的可行性与否。</w:t>
      </w:r>
    </w:p>
    <w:p>
      <w:pPr>
        <w:ind w:firstLine="480"/>
        <w:rPr>
          <w:rFonts w:hint="eastAsia"/>
        </w:rPr>
      </w:pPr>
    </w:p>
    <w:p>
      <w:pPr>
        <w:pStyle w:val="4"/>
      </w:pPr>
      <w:bookmarkStart w:id="11" w:name="_Toc514158385"/>
      <w:bookmarkStart w:id="12" w:name="_Toc511031487"/>
      <w:bookmarkStart w:id="13" w:name="_Toc470699951"/>
      <w:r>
        <w:rPr>
          <w:rFonts w:hint="eastAsia"/>
        </w:rPr>
        <w:t>公众参与</w:t>
      </w:r>
      <w:r>
        <w:t>方法和形式</w:t>
      </w:r>
      <w:bookmarkEnd w:id="11"/>
      <w:bookmarkEnd w:id="12"/>
      <w:bookmarkEnd w:id="13"/>
      <w:r>
        <w:t xml:space="preserve"> </w:t>
      </w:r>
    </w:p>
    <w:p>
      <w:pPr>
        <w:ind w:firstLine="480"/>
      </w:pPr>
      <w:r>
        <w:rPr>
          <w:rFonts w:hint="eastAsia"/>
        </w:rPr>
        <w:t>根据国家环保总局</w:t>
      </w:r>
      <w:r>
        <w:t>2006</w:t>
      </w:r>
      <w:r>
        <w:rPr>
          <w:rFonts w:hint="eastAsia"/>
        </w:rPr>
        <w:t>年</w:t>
      </w:r>
      <w:r>
        <w:t>2</w:t>
      </w:r>
      <w:r>
        <w:rPr>
          <w:rFonts w:hint="eastAsia"/>
        </w:rPr>
        <w:t>月</w:t>
      </w:r>
      <w:r>
        <w:t>14</w:t>
      </w:r>
      <w:r>
        <w:rPr>
          <w:rFonts w:hint="eastAsia"/>
        </w:rPr>
        <w:t>日发布的环发</w:t>
      </w:r>
      <w:r>
        <w:t>2006[28]</w:t>
      </w:r>
      <w:r>
        <w:rPr>
          <w:rFonts w:hint="eastAsia"/>
        </w:rPr>
        <w:t>号文《环境影响评价公众参与暂行办法》，建设单位应当在确定了承担环境影响评价工作的环境影响评价机构后</w:t>
      </w:r>
      <w:r>
        <w:t>7</w:t>
      </w:r>
      <w:r>
        <w:rPr>
          <w:rFonts w:hint="eastAsia"/>
        </w:rPr>
        <w:t>日内，就拟建项目基本情况向公众发布第一次公告；并且在编制环境影响报告书的过程中，在报送环境保护行政主管部门审批前，就拟建项目概况及拟建项目环境影响报告书中的有关内容向公众发布第二次公告。此外</w:t>
      </w:r>
      <w:r>
        <w:t>，在第二次公示的</w:t>
      </w:r>
      <w:r>
        <w:rPr>
          <w:rFonts w:hint="eastAsia"/>
        </w:rPr>
        <w:t>同时</w:t>
      </w:r>
      <w:r>
        <w:t>，</w:t>
      </w:r>
      <w:r>
        <w:rPr>
          <w:rFonts w:hint="eastAsia"/>
        </w:rPr>
        <w:t>采取现场问卷调查的</w:t>
      </w:r>
      <w:r>
        <w:t>方式</w:t>
      </w:r>
      <w:r>
        <w:rPr>
          <w:rFonts w:hint="eastAsia"/>
        </w:rPr>
        <w:t>进行</w:t>
      </w:r>
      <w:r>
        <w:t>公众意见收集。</w:t>
      </w: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rPr>
          <w:rFonts w:hint="eastAsia"/>
        </w:rPr>
      </w:pPr>
    </w:p>
    <w:p>
      <w:pPr>
        <w:pStyle w:val="4"/>
      </w:pPr>
      <w:bookmarkStart w:id="14" w:name="_Toc511031488"/>
      <w:bookmarkStart w:id="15" w:name="_Toc514158386"/>
      <w:r>
        <w:rPr>
          <w:rFonts w:hint="eastAsia"/>
        </w:rPr>
        <w:t>网上公示</w:t>
      </w:r>
      <w:bookmarkEnd w:id="14"/>
      <w:bookmarkEnd w:id="15"/>
    </w:p>
    <w:p>
      <w:pPr>
        <w:pStyle w:val="5"/>
      </w:pPr>
      <w:bookmarkStart w:id="16" w:name="_Toc511031489"/>
      <w:bookmarkStart w:id="17" w:name="_Toc514158387"/>
      <w:r>
        <w:rPr>
          <w:rFonts w:hint="eastAsia"/>
        </w:rPr>
        <w:t>网上一次公示</w:t>
      </w:r>
      <w:bookmarkEnd w:id="16"/>
      <w:bookmarkEnd w:id="17"/>
    </w:p>
    <w:p>
      <w:pPr>
        <w:ind w:firstLine="480"/>
        <w:rPr>
          <w:rFonts w:ascii="宋体" w:cs="宋体"/>
        </w:rPr>
      </w:pPr>
      <w:r>
        <w:t>201</w:t>
      </w:r>
      <w:r>
        <w:rPr>
          <w:rFonts w:hint="eastAsia"/>
          <w:lang w:val="en-US" w:eastAsia="zh-CN"/>
        </w:rPr>
        <w:t>8</w:t>
      </w:r>
      <w:r>
        <w:rPr>
          <w:rFonts w:hint="eastAsia" w:ascii="宋体" w:cs="宋体"/>
        </w:rPr>
        <w:t>年</w:t>
      </w:r>
      <w:r>
        <w:rPr>
          <w:rFonts w:hint="eastAsia" w:ascii="宋体" w:cs="宋体"/>
          <w:lang w:val="en-US" w:eastAsia="zh-CN"/>
        </w:rPr>
        <w:t>9</w:t>
      </w:r>
      <w:r>
        <w:rPr>
          <w:rFonts w:hint="eastAsia" w:ascii="宋体" w:cs="宋体"/>
        </w:rPr>
        <w:t>月</w:t>
      </w:r>
      <w:r>
        <w:t>2</w:t>
      </w:r>
      <w:r>
        <w:rPr>
          <w:rFonts w:hint="eastAsia"/>
          <w:lang w:val="en-US" w:eastAsia="zh-CN"/>
        </w:rPr>
        <w:t>1</w:t>
      </w:r>
      <w:r>
        <w:rPr>
          <w:rFonts w:hint="eastAsia" w:ascii="宋体" w:cs="宋体"/>
        </w:rPr>
        <w:t>日在</w:t>
      </w:r>
      <w:r>
        <w:rPr>
          <w:rFonts w:hint="eastAsia" w:ascii="宋体" w:cs="宋体"/>
          <w:lang w:eastAsia="zh-CN"/>
        </w:rPr>
        <w:t>泸州市人民政府</w:t>
      </w:r>
      <w:r>
        <w:rPr>
          <w:rFonts w:hint="eastAsia" w:ascii="宋体" w:cs="宋体"/>
        </w:rPr>
        <w:t>网站（</w:t>
      </w:r>
      <w:r>
        <w:rPr>
          <w:rFonts w:hint="eastAsia"/>
        </w:rPr>
        <w:t>http://www.luzhou.gov.cn/zw/hzjcgk/zfgs/content_518330</w:t>
      </w:r>
      <w:r>
        <w:rPr>
          <w:rFonts w:hint="eastAsia" w:ascii="宋体" w:cs="宋体"/>
        </w:rPr>
        <w:t>）上发布了第一次环评公示，广泛征求公众意见。</w:t>
      </w:r>
      <w:r>
        <w:t>公示信息中介绍了工程简况、</w:t>
      </w:r>
      <w:r>
        <w:rPr>
          <w:kern w:val="0"/>
        </w:rPr>
        <w:t>环境影响评价工作内容及程序、</w:t>
      </w:r>
      <w:r>
        <w:t>征求公众意见的主要内容，给出了信息反馈途径和方式，</w:t>
      </w:r>
      <w:r>
        <w:rPr>
          <w:rFonts w:hint="eastAsia"/>
        </w:rPr>
        <w:t>公示</w:t>
      </w:r>
      <w:r>
        <w:t>时间大于10个工作日</w:t>
      </w:r>
      <w:r>
        <w:rPr>
          <w:rFonts w:hint="eastAsia" w:ascii="宋体" w:cs="宋体"/>
        </w:rPr>
        <w:t>。网站公示内容具体见下图。</w:t>
      </w:r>
    </w:p>
    <w:p>
      <w:pPr>
        <w:ind w:firstLine="480"/>
        <w:rPr>
          <w:rFonts w:hint="eastAsia" w:ascii="宋体" w:cs="宋体"/>
        </w:rPr>
      </w:pPr>
      <w:r>
        <w:drawing>
          <wp:anchor distT="0" distB="0" distL="114300" distR="114300" simplePos="0" relativeHeight="251662336" behindDoc="0" locked="0" layoutInCell="1" allowOverlap="1">
            <wp:simplePos x="0" y="0"/>
            <wp:positionH relativeFrom="column">
              <wp:posOffset>315595</wp:posOffset>
            </wp:positionH>
            <wp:positionV relativeFrom="paragraph">
              <wp:posOffset>108585</wp:posOffset>
            </wp:positionV>
            <wp:extent cx="4977765" cy="6124575"/>
            <wp:effectExtent l="0" t="0" r="13335" b="9525"/>
            <wp:wrapSquare wrapText="bothSides"/>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11"/>
                    <a:stretch>
                      <a:fillRect/>
                    </a:stretch>
                  </pic:blipFill>
                  <pic:spPr>
                    <a:xfrm>
                      <a:off x="0" y="0"/>
                      <a:ext cx="4977765" cy="6124575"/>
                    </a:xfrm>
                    <a:prstGeom prst="rect">
                      <a:avLst/>
                    </a:prstGeom>
                    <a:noFill/>
                    <a:ln w="9525">
                      <a:noFill/>
                    </a:ln>
                  </pic:spPr>
                </pic:pic>
              </a:graphicData>
            </a:graphic>
          </wp:anchor>
        </w:drawing>
      </w:r>
    </w:p>
    <w:p>
      <w:pPr>
        <w:spacing w:line="240" w:lineRule="auto"/>
        <w:ind w:firstLine="0" w:firstLineChars="0"/>
        <w:jc w:val="both"/>
      </w:pPr>
    </w:p>
    <w:p>
      <w:pPr>
        <w:ind w:firstLine="482"/>
        <w:jc w:val="center"/>
        <w:rPr>
          <w:b/>
        </w:rPr>
      </w:pPr>
      <w:r>
        <w:rPr>
          <w:rFonts w:hint="eastAsia"/>
          <w:b/>
        </w:rPr>
        <w:t>第一网上</w:t>
      </w:r>
      <w:r>
        <w:rPr>
          <w:b/>
        </w:rPr>
        <w:t>公示截图</w:t>
      </w:r>
    </w:p>
    <w:p>
      <w:pPr>
        <w:pStyle w:val="5"/>
      </w:pPr>
      <w:bookmarkStart w:id="18" w:name="_Toc511031490"/>
      <w:bookmarkStart w:id="19" w:name="_Toc514158388"/>
      <w:r>
        <w:rPr>
          <w:rFonts w:hint="eastAsia"/>
        </w:rPr>
        <w:t>网上二次公示</w:t>
      </w:r>
      <w:bookmarkEnd w:id="18"/>
      <w:bookmarkEnd w:id="19"/>
    </w:p>
    <w:p>
      <w:pPr>
        <w:ind w:firstLine="480"/>
      </w:pPr>
      <w:r>
        <w:rPr>
          <w:rFonts w:hint="eastAsia"/>
          <w:snapToGrid w:val="0"/>
          <w:kern w:val="24"/>
        </w:rPr>
        <w:t>201</w:t>
      </w:r>
      <w:r>
        <w:rPr>
          <w:snapToGrid w:val="0"/>
          <w:kern w:val="24"/>
        </w:rPr>
        <w:t>8</w:t>
      </w:r>
      <w:r>
        <w:rPr>
          <w:rFonts w:hint="eastAsia"/>
          <w:snapToGrid w:val="0"/>
          <w:kern w:val="24"/>
        </w:rPr>
        <w:t>年</w:t>
      </w:r>
      <w:r>
        <w:rPr>
          <w:rFonts w:hint="eastAsia"/>
          <w:bCs/>
          <w:snapToGrid w:val="0"/>
          <w:kern w:val="24"/>
          <w:lang w:val="en-US" w:eastAsia="zh-CN"/>
        </w:rPr>
        <w:t>10</w:t>
      </w:r>
      <w:r>
        <w:rPr>
          <w:rFonts w:hint="eastAsia"/>
          <w:snapToGrid w:val="0"/>
          <w:kern w:val="24"/>
        </w:rPr>
        <w:t>月</w:t>
      </w:r>
      <w:r>
        <w:rPr>
          <w:rFonts w:hint="eastAsia"/>
          <w:snapToGrid w:val="0"/>
          <w:kern w:val="24"/>
          <w:lang w:val="en-US" w:eastAsia="zh-CN"/>
        </w:rPr>
        <w:t>12</w:t>
      </w:r>
      <w:r>
        <w:rPr>
          <w:rFonts w:hint="eastAsia"/>
          <w:snapToGrid w:val="0"/>
          <w:kern w:val="24"/>
        </w:rPr>
        <w:t>日，在报告书初稿编制完成之后，</w:t>
      </w:r>
      <w:r>
        <w:rPr>
          <w:rFonts w:hint="eastAsia"/>
        </w:rPr>
        <w:t>在</w:t>
      </w:r>
      <w:r>
        <w:rPr>
          <w:rFonts w:hint="eastAsia" w:ascii="宋体" w:cs="宋体"/>
          <w:lang w:eastAsia="zh-CN"/>
        </w:rPr>
        <w:t>泸州市人民政府</w:t>
      </w:r>
      <w:r>
        <w:rPr>
          <w:rFonts w:hint="eastAsia" w:ascii="宋体" w:cs="宋体"/>
        </w:rPr>
        <w:t>网站</w:t>
      </w:r>
      <w:r>
        <w:rPr>
          <w:rFonts w:hint="eastAsia"/>
        </w:rPr>
        <w:t>（http://www.luzhou.gov.cn/zw/hzjcgk/zfgs/content_526987）</w:t>
      </w:r>
      <w:r>
        <w:rPr>
          <w:rFonts w:hint="eastAsia"/>
          <w:bCs/>
        </w:rPr>
        <w:t>，发布</w:t>
      </w:r>
      <w:r>
        <w:rPr>
          <w:bCs/>
        </w:rPr>
        <w:t>了第二次环评公示</w:t>
      </w:r>
      <w:r>
        <w:rPr>
          <w:rFonts w:hint="eastAsia"/>
        </w:rPr>
        <w:t>，</w:t>
      </w:r>
      <w:r>
        <w:t>公示信息中介绍了工程概况、主要环境影响以及拟采取的环保措施等，并给出了信息反馈途径和方式。</w:t>
      </w:r>
      <w:r>
        <w:rPr>
          <w:rFonts w:hint="eastAsia"/>
        </w:rPr>
        <w:t>公示时间大于</w:t>
      </w:r>
      <w:r>
        <w:t>10</w:t>
      </w:r>
      <w:r>
        <w:rPr>
          <w:rFonts w:hint="eastAsia"/>
        </w:rPr>
        <w:t>天，网站公示内容具体见下图。</w:t>
      </w:r>
    </w:p>
    <w:p>
      <w:pPr>
        <w:ind w:firstLine="480"/>
      </w:pPr>
      <w:r>
        <w:drawing>
          <wp:anchor distT="0" distB="0" distL="114300" distR="114300" simplePos="0" relativeHeight="251664384" behindDoc="0" locked="0" layoutInCell="1" allowOverlap="1">
            <wp:simplePos x="0" y="0"/>
            <wp:positionH relativeFrom="column">
              <wp:posOffset>-262890</wp:posOffset>
            </wp:positionH>
            <wp:positionV relativeFrom="paragraph">
              <wp:posOffset>260350</wp:posOffset>
            </wp:positionV>
            <wp:extent cx="5730875" cy="6285230"/>
            <wp:effectExtent l="0" t="0" r="3175" b="1270"/>
            <wp:wrapSquare wrapText="bothSides"/>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2"/>
                    <a:stretch>
                      <a:fillRect/>
                    </a:stretch>
                  </pic:blipFill>
                  <pic:spPr>
                    <a:xfrm>
                      <a:off x="0" y="0"/>
                      <a:ext cx="5730875" cy="6285230"/>
                    </a:xfrm>
                    <a:prstGeom prst="rect">
                      <a:avLst/>
                    </a:prstGeom>
                    <a:noFill/>
                    <a:ln w="9525">
                      <a:noFill/>
                    </a:ln>
                  </pic:spPr>
                </pic:pic>
              </a:graphicData>
            </a:graphic>
          </wp:anchor>
        </w:drawing>
      </w:r>
    </w:p>
    <w:p>
      <w:pPr>
        <w:spacing w:line="240" w:lineRule="auto"/>
        <w:ind w:firstLine="0" w:firstLineChars="0"/>
      </w:pPr>
    </w:p>
    <w:p>
      <w:pPr>
        <w:spacing w:line="240" w:lineRule="auto"/>
        <w:ind w:firstLine="0" w:firstLineChars="0"/>
        <w:jc w:val="center"/>
      </w:pPr>
      <w:r>
        <w:rPr>
          <w:rFonts w:hint="eastAsia"/>
          <w:b/>
        </w:rPr>
        <w:t>第二网上</w:t>
      </w:r>
      <w:r>
        <w:rPr>
          <w:b/>
        </w:rPr>
        <w:t>公示截图</w:t>
      </w:r>
    </w:p>
    <w:p>
      <w:pPr>
        <w:spacing w:line="240" w:lineRule="auto"/>
        <w:ind w:firstLine="0" w:firstLineChars="0"/>
      </w:pPr>
    </w:p>
    <w:p>
      <w:pPr>
        <w:ind w:firstLine="480"/>
        <w:jc w:val="left"/>
      </w:pPr>
    </w:p>
    <w:p>
      <w:pPr>
        <w:pStyle w:val="4"/>
        <w:numPr>
          <w:ilvl w:val="0"/>
          <w:numId w:val="0"/>
        </w:numPr>
        <w:jc w:val="both"/>
      </w:pPr>
      <w:r>
        <w:br w:type="page"/>
      </w:r>
      <w:bookmarkStart w:id="20" w:name="_Toc511031491"/>
      <w:bookmarkStart w:id="21" w:name="_Toc514158390"/>
      <w:r>
        <w:rPr>
          <w:rFonts w:hint="eastAsia"/>
          <w:lang w:val="en-US" w:eastAsia="zh-CN"/>
        </w:rPr>
        <w:t xml:space="preserve">5 </w:t>
      </w:r>
      <w:r>
        <w:rPr>
          <w:rFonts w:hint="eastAsia"/>
        </w:rPr>
        <w:t>问卷调查</w:t>
      </w:r>
      <w:bookmarkEnd w:id="20"/>
      <w:bookmarkEnd w:id="21"/>
    </w:p>
    <w:p>
      <w:pPr>
        <w:ind w:firstLine="480"/>
      </w:pPr>
      <w:r>
        <w:rPr>
          <w:rFonts w:hint="eastAsia"/>
        </w:rPr>
        <w:t>建设单位于第二次</w:t>
      </w:r>
      <w:r>
        <w:t>公示期间，</w:t>
      </w:r>
      <w:r>
        <w:rPr>
          <w:rFonts w:hint="eastAsia"/>
        </w:rPr>
        <w:t>在项目建设</w:t>
      </w:r>
      <w:r>
        <w:t>地周边</w:t>
      </w:r>
      <w:r>
        <w:rPr>
          <w:rFonts w:hint="eastAsia"/>
        </w:rPr>
        <w:t>以发放调查表形式进行公众参与活动，现场组织由建设单位组织实施。现场调查问卷样表见表5</w:t>
      </w:r>
      <w:r>
        <w:t>-1</w:t>
      </w:r>
      <w:r>
        <w:rPr>
          <w:rFonts w:hint="eastAsia"/>
        </w:rPr>
        <w:t>。</w:t>
      </w:r>
    </w:p>
    <w:p>
      <w:pPr>
        <w:ind w:firstLine="480"/>
      </w:pPr>
      <w:r>
        <w:rPr>
          <w:rFonts w:hint="eastAsia"/>
        </w:rPr>
        <w:t>以代表性和随机性相结合为原则，免费公开发放环境影响评价调查表格，根据表格拟定的内容，直接咨询调查，公众意见调查表见调查对象主要为项目所在地及其周边地区居民等，采用实名制。调查时间为报告书编制过程，以及时收集当地公众意见，并反馈到报告书相关内容中。</w:t>
      </w: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pStyle w:val="6"/>
        <w:spacing w:before="156"/>
        <w:ind w:left="0" w:leftChars="0" w:firstLine="0" w:firstLineChars="0"/>
        <w:jc w:val="center"/>
      </w:pPr>
      <w:bookmarkStart w:id="22" w:name="_Ref470255428"/>
      <w:r>
        <w:rPr>
          <w:rFonts w:hint="eastAsia"/>
        </w:rPr>
        <w:t xml:space="preserve">表 </w:t>
      </w:r>
      <w:r>
        <w:t>5-1</w:t>
      </w:r>
      <w:bookmarkEnd w:id="22"/>
      <w:r>
        <w:t xml:space="preserve">  </w:t>
      </w:r>
      <w:r>
        <w:rPr>
          <w:rFonts w:hint="eastAsia"/>
          <w:bCs/>
          <w:lang w:eastAsia="zh-CN"/>
        </w:rPr>
        <w:t>泸县战旗石材厂</w:t>
      </w:r>
      <w:r>
        <w:rPr>
          <w:rFonts w:hint="eastAsia"/>
          <w:bCs/>
          <w:lang w:val="en-US" w:eastAsia="zh-CN"/>
        </w:rPr>
        <w:t>10万吨/年建筑用砂岩开采项目</w:t>
      </w:r>
      <w:r>
        <w:rPr>
          <w:rFonts w:hint="eastAsia"/>
        </w:rPr>
        <w:t>环境影响</w:t>
      </w:r>
      <w:r>
        <w:t>评价公众参与调查</w:t>
      </w:r>
      <w:r>
        <w:rPr>
          <w:rFonts w:hint="eastAsia"/>
        </w:rPr>
        <w:t>表</w:t>
      </w:r>
    </w:p>
    <w:tbl>
      <w:tblPr>
        <w:tblStyle w:val="13"/>
        <w:tblpPr w:leftFromText="180" w:rightFromText="180" w:vertAnchor="page" w:horzAnchor="page" w:tblpX="1807" w:tblpY="2028"/>
        <w:tblOverlap w:val="never"/>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2697"/>
        <w:gridCol w:w="995"/>
        <w:gridCol w:w="37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1122" w:type="dxa"/>
            <w:vAlign w:val="center"/>
          </w:tcPr>
          <w:p>
            <w:pPr>
              <w:snapToGrid/>
              <w:spacing w:line="360" w:lineRule="exact"/>
              <w:ind w:firstLine="0" w:firstLineChars="0"/>
              <w:jc w:val="center"/>
              <w:rPr>
                <w:color w:val="000000"/>
                <w:kern w:val="0"/>
                <w:sz w:val="21"/>
                <w:szCs w:val="21"/>
              </w:rPr>
            </w:pPr>
            <w:r>
              <w:rPr>
                <w:color w:val="000000"/>
                <w:kern w:val="0"/>
                <w:sz w:val="21"/>
                <w:szCs w:val="21"/>
              </w:rPr>
              <w:t>姓  名</w:t>
            </w:r>
          </w:p>
        </w:tc>
        <w:tc>
          <w:tcPr>
            <w:tcW w:w="2697" w:type="dxa"/>
            <w:vAlign w:val="center"/>
          </w:tcPr>
          <w:p>
            <w:pPr>
              <w:snapToGrid/>
              <w:spacing w:line="360" w:lineRule="exact"/>
              <w:ind w:firstLine="0" w:firstLineChars="0"/>
              <w:jc w:val="center"/>
              <w:rPr>
                <w:color w:val="000000"/>
                <w:kern w:val="0"/>
                <w:sz w:val="21"/>
                <w:szCs w:val="21"/>
              </w:rPr>
            </w:pPr>
          </w:p>
        </w:tc>
        <w:tc>
          <w:tcPr>
            <w:tcW w:w="995" w:type="dxa"/>
            <w:vAlign w:val="center"/>
          </w:tcPr>
          <w:p>
            <w:pPr>
              <w:snapToGrid/>
              <w:spacing w:line="360" w:lineRule="exact"/>
              <w:ind w:left="-91" w:firstLine="0" w:firstLineChars="0"/>
              <w:jc w:val="center"/>
              <w:rPr>
                <w:color w:val="000000"/>
                <w:kern w:val="0"/>
                <w:sz w:val="21"/>
                <w:szCs w:val="21"/>
              </w:rPr>
            </w:pPr>
            <w:r>
              <w:rPr>
                <w:color w:val="000000"/>
                <w:kern w:val="0"/>
                <w:sz w:val="21"/>
                <w:szCs w:val="21"/>
              </w:rPr>
              <w:t>年龄</w:t>
            </w:r>
          </w:p>
        </w:tc>
        <w:tc>
          <w:tcPr>
            <w:tcW w:w="3754" w:type="dxa"/>
            <w:vAlign w:val="center"/>
          </w:tcPr>
          <w:p>
            <w:pPr>
              <w:snapToGrid/>
              <w:spacing w:line="360" w:lineRule="exact"/>
              <w:ind w:firstLine="0" w:firstLineChars="0"/>
              <w:jc w:val="center"/>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1122" w:type="dxa"/>
            <w:vAlign w:val="center"/>
          </w:tcPr>
          <w:p>
            <w:pPr>
              <w:snapToGrid/>
              <w:spacing w:line="360" w:lineRule="exact"/>
              <w:ind w:left="-91" w:firstLine="0" w:firstLineChars="0"/>
              <w:jc w:val="center"/>
              <w:rPr>
                <w:color w:val="000000"/>
                <w:spacing w:val="-20"/>
                <w:kern w:val="0"/>
                <w:sz w:val="21"/>
                <w:szCs w:val="21"/>
              </w:rPr>
            </w:pPr>
            <w:r>
              <w:rPr>
                <w:color w:val="000000"/>
                <w:kern w:val="0"/>
                <w:sz w:val="21"/>
                <w:szCs w:val="21"/>
              </w:rPr>
              <w:t>性别</w:t>
            </w:r>
          </w:p>
        </w:tc>
        <w:tc>
          <w:tcPr>
            <w:tcW w:w="2697" w:type="dxa"/>
            <w:vAlign w:val="center"/>
          </w:tcPr>
          <w:p>
            <w:pPr>
              <w:snapToGrid/>
              <w:spacing w:line="360" w:lineRule="exact"/>
              <w:ind w:firstLine="0" w:firstLineChars="0"/>
              <w:rPr>
                <w:color w:val="000000"/>
                <w:kern w:val="0"/>
                <w:sz w:val="21"/>
                <w:szCs w:val="21"/>
              </w:rPr>
            </w:pPr>
            <w:r>
              <w:rPr>
                <w:color w:val="000000"/>
                <w:kern w:val="0"/>
                <w:sz w:val="21"/>
                <w:szCs w:val="21"/>
              </w:rPr>
              <w:t>男</w:t>
            </w:r>
            <w:r>
              <w:rPr>
                <w:color w:val="000000"/>
                <w:kern w:val="0"/>
                <w:sz w:val="28"/>
                <w:szCs w:val="28"/>
              </w:rPr>
              <w:t>□</w:t>
            </w:r>
            <w:r>
              <w:rPr>
                <w:color w:val="000000"/>
                <w:kern w:val="0"/>
                <w:sz w:val="21"/>
                <w:szCs w:val="21"/>
              </w:rPr>
              <w:t xml:space="preserve">   女</w:t>
            </w:r>
            <w:r>
              <w:rPr>
                <w:color w:val="000000"/>
                <w:kern w:val="0"/>
                <w:sz w:val="28"/>
                <w:szCs w:val="28"/>
              </w:rPr>
              <w:t>□</w:t>
            </w:r>
          </w:p>
        </w:tc>
        <w:tc>
          <w:tcPr>
            <w:tcW w:w="995" w:type="dxa"/>
            <w:vAlign w:val="center"/>
          </w:tcPr>
          <w:p>
            <w:pPr>
              <w:snapToGrid/>
              <w:spacing w:line="360" w:lineRule="exact"/>
              <w:ind w:left="-91" w:firstLine="0" w:firstLineChars="0"/>
              <w:jc w:val="center"/>
              <w:rPr>
                <w:color w:val="000000"/>
                <w:kern w:val="0"/>
                <w:sz w:val="21"/>
                <w:szCs w:val="21"/>
              </w:rPr>
            </w:pPr>
            <w:r>
              <w:rPr>
                <w:color w:val="000000"/>
                <w:kern w:val="0"/>
                <w:sz w:val="21"/>
                <w:szCs w:val="21"/>
              </w:rPr>
              <w:t>联系电话</w:t>
            </w:r>
          </w:p>
        </w:tc>
        <w:tc>
          <w:tcPr>
            <w:tcW w:w="3754" w:type="dxa"/>
            <w:vAlign w:val="center"/>
          </w:tcPr>
          <w:p>
            <w:pPr>
              <w:snapToGrid/>
              <w:spacing w:line="360" w:lineRule="exact"/>
              <w:ind w:firstLine="0" w:firstLineChars="0"/>
              <w:jc w:val="center"/>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1122" w:type="dxa"/>
            <w:vAlign w:val="center"/>
          </w:tcPr>
          <w:p>
            <w:pPr>
              <w:snapToGrid/>
              <w:spacing w:line="360" w:lineRule="exact"/>
              <w:ind w:left="-91" w:firstLine="0" w:firstLineChars="0"/>
              <w:jc w:val="center"/>
              <w:rPr>
                <w:color w:val="000000"/>
                <w:spacing w:val="-20"/>
                <w:kern w:val="0"/>
                <w:sz w:val="21"/>
                <w:szCs w:val="21"/>
              </w:rPr>
            </w:pPr>
            <w:r>
              <w:rPr>
                <w:color w:val="000000"/>
                <w:kern w:val="0"/>
                <w:sz w:val="21"/>
                <w:szCs w:val="21"/>
              </w:rPr>
              <w:t>文化程度</w:t>
            </w:r>
          </w:p>
        </w:tc>
        <w:tc>
          <w:tcPr>
            <w:tcW w:w="2697" w:type="dxa"/>
            <w:vAlign w:val="center"/>
          </w:tcPr>
          <w:p>
            <w:pPr>
              <w:snapToGrid/>
              <w:spacing w:line="360" w:lineRule="exact"/>
              <w:ind w:firstLine="0" w:firstLineChars="0"/>
              <w:rPr>
                <w:color w:val="000000"/>
                <w:kern w:val="0"/>
                <w:sz w:val="21"/>
                <w:szCs w:val="21"/>
              </w:rPr>
            </w:pPr>
          </w:p>
        </w:tc>
        <w:tc>
          <w:tcPr>
            <w:tcW w:w="995" w:type="dxa"/>
            <w:vAlign w:val="center"/>
          </w:tcPr>
          <w:p>
            <w:pPr>
              <w:snapToGrid/>
              <w:spacing w:line="360" w:lineRule="exact"/>
              <w:ind w:left="-91" w:firstLine="0" w:firstLineChars="0"/>
              <w:jc w:val="center"/>
              <w:rPr>
                <w:color w:val="000000"/>
                <w:kern w:val="0"/>
                <w:sz w:val="21"/>
                <w:szCs w:val="21"/>
              </w:rPr>
            </w:pPr>
            <w:r>
              <w:rPr>
                <w:color w:val="000000"/>
                <w:kern w:val="0"/>
                <w:sz w:val="21"/>
                <w:szCs w:val="21"/>
              </w:rPr>
              <w:t>职业</w:t>
            </w:r>
          </w:p>
        </w:tc>
        <w:tc>
          <w:tcPr>
            <w:tcW w:w="3754" w:type="dxa"/>
            <w:vAlign w:val="center"/>
          </w:tcPr>
          <w:p>
            <w:pPr>
              <w:snapToGrid/>
              <w:spacing w:line="360" w:lineRule="exact"/>
              <w:ind w:left="-91" w:firstLine="0" w:firstLineChars="0"/>
              <w:jc w:val="center"/>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1122" w:type="dxa"/>
            <w:vAlign w:val="center"/>
          </w:tcPr>
          <w:p>
            <w:pPr>
              <w:snapToGrid/>
              <w:spacing w:line="360" w:lineRule="exact"/>
              <w:ind w:left="-91" w:firstLine="0" w:firstLineChars="0"/>
              <w:jc w:val="center"/>
              <w:rPr>
                <w:color w:val="000000"/>
                <w:kern w:val="0"/>
                <w:sz w:val="21"/>
                <w:szCs w:val="21"/>
              </w:rPr>
            </w:pPr>
            <w:r>
              <w:rPr>
                <w:color w:val="000000"/>
                <w:kern w:val="0"/>
                <w:sz w:val="21"/>
                <w:szCs w:val="21"/>
              </w:rPr>
              <w:t>住  址</w:t>
            </w:r>
          </w:p>
        </w:tc>
        <w:tc>
          <w:tcPr>
            <w:tcW w:w="7446" w:type="dxa"/>
            <w:gridSpan w:val="3"/>
            <w:vAlign w:val="center"/>
          </w:tcPr>
          <w:p>
            <w:pPr>
              <w:snapToGrid/>
              <w:spacing w:line="360" w:lineRule="exact"/>
              <w:ind w:firstLine="0" w:firstLineChars="0"/>
              <w:jc w:val="center"/>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8568" w:type="dxa"/>
            <w:gridSpan w:val="4"/>
            <w:vAlign w:val="center"/>
          </w:tcPr>
          <w:p>
            <w:pPr>
              <w:spacing w:line="240" w:lineRule="auto"/>
              <w:ind w:firstLine="0" w:firstLineChars="0"/>
              <w:rPr>
                <w:rFonts w:eastAsia="黑体"/>
                <w:color w:val="000000"/>
                <w:sz w:val="21"/>
                <w:szCs w:val="21"/>
              </w:rPr>
            </w:pPr>
            <w:r>
              <w:rPr>
                <w:rFonts w:eastAsia="黑体"/>
                <w:color w:val="000000"/>
                <w:sz w:val="21"/>
                <w:szCs w:val="21"/>
              </w:rPr>
              <w:t>项目概况：</w:t>
            </w:r>
          </w:p>
          <w:p>
            <w:pPr>
              <w:keepNext w:val="0"/>
              <w:keepLines w:val="0"/>
              <w:pageBreakBefore w:val="0"/>
              <w:widowControl w:val="0"/>
              <w:kinsoku/>
              <w:wordWrap/>
              <w:overflowPunct/>
              <w:topLinePunct w:val="0"/>
              <w:autoSpaceDE/>
              <w:autoSpaceDN/>
              <w:bidi w:val="0"/>
              <w:adjustRightInd/>
              <w:snapToGrid/>
              <w:spacing w:line="360" w:lineRule="auto"/>
              <w:ind w:firstLine="420"/>
              <w:textAlignment w:val="auto"/>
              <w:outlineLvl w:val="9"/>
              <w:rPr>
                <w:color w:val="000000"/>
                <w:sz w:val="21"/>
                <w:szCs w:val="21"/>
              </w:rPr>
            </w:pPr>
            <w:r>
              <w:rPr>
                <w:rFonts w:hint="eastAsia"/>
                <w:color w:val="000000"/>
                <w:sz w:val="21"/>
                <w:szCs w:val="21"/>
              </w:rPr>
              <w:t>本项目</w:t>
            </w:r>
            <w:r>
              <w:rPr>
                <w:rFonts w:hint="eastAsia" w:ascii="Times New Roman" w:hAnsi="宋体" w:cs="Times New Roman"/>
                <w:kern w:val="0"/>
                <w:sz w:val="21"/>
                <w:szCs w:val="21"/>
              </w:rPr>
              <w:t>位于泸县县城127°方位，直距17.3km，隶属泸县云龙镇战旗村所辖。项目总投资</w:t>
            </w:r>
            <w:r>
              <w:rPr>
                <w:rFonts w:hint="eastAsia" w:ascii="Times New Roman" w:hAnsi="宋体" w:cs="Times New Roman"/>
                <w:kern w:val="0"/>
                <w:sz w:val="21"/>
                <w:szCs w:val="21"/>
                <w:lang w:val="en-US" w:eastAsia="zh-CN"/>
              </w:rPr>
              <w:t>260</w:t>
            </w:r>
            <w:r>
              <w:rPr>
                <w:rFonts w:hint="eastAsia" w:ascii="Times New Roman" w:hAnsi="宋体" w:cs="Times New Roman"/>
                <w:kern w:val="0"/>
                <w:sz w:val="21"/>
                <w:szCs w:val="21"/>
              </w:rPr>
              <w:t>万</w:t>
            </w:r>
            <w:r>
              <w:rPr>
                <w:rFonts w:hint="eastAsia" w:hAnsi="宋体"/>
                <w:kern w:val="0"/>
                <w:sz w:val="21"/>
                <w:szCs w:val="21"/>
              </w:rPr>
              <w:t>元，建设</w:t>
            </w:r>
            <w:r>
              <w:rPr>
                <w:rFonts w:hint="eastAsia"/>
                <w:sz w:val="21"/>
                <w:szCs w:val="24"/>
              </w:rPr>
              <w:t>年</w:t>
            </w:r>
            <w:r>
              <w:rPr>
                <w:rFonts w:hint="eastAsia"/>
                <w:sz w:val="21"/>
                <w:szCs w:val="24"/>
                <w:lang w:eastAsia="zh-CN"/>
              </w:rPr>
              <w:t>开采建筑用砂岩</w:t>
            </w:r>
            <w:r>
              <w:rPr>
                <w:sz w:val="21"/>
                <w:szCs w:val="24"/>
              </w:rPr>
              <w:t>矿</w:t>
            </w:r>
            <w:r>
              <w:rPr>
                <w:rFonts w:hint="eastAsia"/>
                <w:sz w:val="21"/>
                <w:szCs w:val="24"/>
                <w:lang w:val="en-US" w:eastAsia="zh-CN"/>
              </w:rPr>
              <w:t>1</w:t>
            </w:r>
            <w:r>
              <w:rPr>
                <w:sz w:val="21"/>
                <w:szCs w:val="24"/>
              </w:rPr>
              <w:t>0</w:t>
            </w:r>
            <w:r>
              <w:rPr>
                <w:rFonts w:hint="eastAsia"/>
                <w:sz w:val="21"/>
                <w:szCs w:val="24"/>
              </w:rPr>
              <w:t>万</w:t>
            </w:r>
            <w:r>
              <w:rPr>
                <w:sz w:val="21"/>
                <w:szCs w:val="24"/>
              </w:rPr>
              <w:t>吨</w:t>
            </w:r>
            <w:r>
              <w:rPr>
                <w:rFonts w:hint="eastAsia"/>
                <w:sz w:val="21"/>
                <w:szCs w:val="24"/>
              </w:rPr>
              <w:t>的</w:t>
            </w:r>
            <w:r>
              <w:rPr>
                <w:sz w:val="21"/>
                <w:szCs w:val="24"/>
              </w:rPr>
              <w:t>项目</w:t>
            </w:r>
            <w:r>
              <w:rPr>
                <w:rFonts w:hint="eastAsia" w:hAnsi="宋体"/>
                <w:kern w:val="0"/>
                <w:sz w:val="21"/>
                <w:szCs w:val="21"/>
              </w:rPr>
              <w:t>。</w:t>
            </w:r>
            <w:r>
              <w:rPr>
                <w:color w:val="000000"/>
                <w:sz w:val="21"/>
                <w:szCs w:val="21"/>
              </w:rPr>
              <w:t>该矿范围由1-</w:t>
            </w:r>
            <w:r>
              <w:rPr>
                <w:rFonts w:hint="eastAsia"/>
                <w:color w:val="000000"/>
                <w:sz w:val="21"/>
                <w:szCs w:val="21"/>
                <w:lang w:val="en-US" w:eastAsia="zh-CN"/>
              </w:rPr>
              <w:t>12</w:t>
            </w:r>
            <w:r>
              <w:rPr>
                <w:color w:val="000000"/>
                <w:sz w:val="21"/>
                <w:szCs w:val="21"/>
              </w:rPr>
              <w:t>号拐点圈闭，矿区面积：0.</w:t>
            </w:r>
            <w:r>
              <w:rPr>
                <w:rFonts w:hint="eastAsia"/>
                <w:color w:val="000000"/>
                <w:sz w:val="21"/>
                <w:szCs w:val="21"/>
              </w:rPr>
              <w:t>0</w:t>
            </w:r>
            <w:r>
              <w:rPr>
                <w:rFonts w:hint="eastAsia"/>
                <w:color w:val="000000"/>
                <w:sz w:val="21"/>
                <w:szCs w:val="21"/>
                <w:lang w:val="en-US" w:eastAsia="zh-CN"/>
              </w:rPr>
              <w:t>73</w:t>
            </w:r>
            <w:r>
              <w:rPr>
                <w:color w:val="000000"/>
                <w:sz w:val="21"/>
                <w:szCs w:val="21"/>
              </w:rPr>
              <w:t>km</w:t>
            </w:r>
            <w:r>
              <w:rPr>
                <w:color w:val="000000"/>
                <w:sz w:val="21"/>
                <w:szCs w:val="21"/>
                <w:vertAlign w:val="superscript"/>
              </w:rPr>
              <w:t>2</w:t>
            </w:r>
            <w:r>
              <w:rPr>
                <w:color w:val="000000"/>
                <w:sz w:val="21"/>
                <w:szCs w:val="21"/>
              </w:rPr>
              <w:t>，开采深度</w:t>
            </w:r>
            <w:r>
              <w:rPr>
                <w:rFonts w:ascii="Times New Roman" w:hAnsi="Times New Roman" w:cs="Times New Roman"/>
                <w:color w:val="000000"/>
                <w:sz w:val="21"/>
                <w:szCs w:val="21"/>
              </w:rPr>
              <w:t>：+</w:t>
            </w:r>
            <w:r>
              <w:rPr>
                <w:rFonts w:hint="eastAsia" w:ascii="Times New Roman" w:hAnsi="Times New Roman" w:cs="Times New Roman"/>
                <w:color w:val="000000"/>
                <w:sz w:val="21"/>
                <w:szCs w:val="21"/>
              </w:rPr>
              <w:t>371m</w:t>
            </w:r>
            <w:r>
              <w:rPr>
                <w:rFonts w:ascii="Times New Roman" w:hAnsi="Times New Roman" w:cs="Times New Roman"/>
                <w:color w:val="000000"/>
                <w:sz w:val="21"/>
                <w:szCs w:val="21"/>
              </w:rPr>
              <w:t>～+</w:t>
            </w:r>
            <w:r>
              <w:rPr>
                <w:rFonts w:hint="eastAsia" w:ascii="Times New Roman" w:hAnsi="Times New Roman" w:cs="Times New Roman"/>
                <w:color w:val="000000"/>
                <w:sz w:val="21"/>
                <w:szCs w:val="21"/>
              </w:rPr>
              <w:t>325</w:t>
            </w:r>
            <w:r>
              <w:rPr>
                <w:rFonts w:ascii="Times New Roman" w:hAnsi="Times New Roman" w:cs="Times New Roman"/>
                <w:color w:val="000000"/>
                <w:sz w:val="21"/>
                <w:szCs w:val="21"/>
              </w:rPr>
              <w:t>m，</w:t>
            </w:r>
            <w:r>
              <w:rPr>
                <w:color w:val="000000"/>
                <w:sz w:val="21"/>
                <w:szCs w:val="21"/>
              </w:rPr>
              <w:t>开采矿种：</w:t>
            </w:r>
            <w:r>
              <w:rPr>
                <w:rFonts w:hint="eastAsia"/>
                <w:color w:val="000000"/>
                <w:sz w:val="21"/>
                <w:szCs w:val="21"/>
                <w:lang w:eastAsia="zh-CN"/>
              </w:rPr>
              <w:t>建筑用砂岩</w:t>
            </w:r>
            <w:r>
              <w:rPr>
                <w:color w:val="000000"/>
                <w:sz w:val="21"/>
                <w:szCs w:val="21"/>
              </w:rPr>
              <w:t>，</w:t>
            </w:r>
            <w:r>
              <w:rPr>
                <w:rFonts w:hint="eastAsia"/>
                <w:color w:val="000000"/>
                <w:sz w:val="21"/>
                <w:szCs w:val="21"/>
              </w:rPr>
              <w:t>服务年限约</w:t>
            </w:r>
            <w:r>
              <w:rPr>
                <w:color w:val="000000"/>
                <w:sz w:val="21"/>
                <w:szCs w:val="21"/>
              </w:rPr>
              <w:t>1</w:t>
            </w:r>
            <w:r>
              <w:rPr>
                <w:rFonts w:hint="eastAsia"/>
                <w:color w:val="000000"/>
                <w:sz w:val="21"/>
                <w:szCs w:val="21"/>
                <w:lang w:val="en-US" w:eastAsia="zh-CN"/>
              </w:rPr>
              <w:t>0.7</w:t>
            </w:r>
            <w:r>
              <w:rPr>
                <w:rFonts w:hint="eastAsia"/>
                <w:color w:val="000000"/>
                <w:sz w:val="21"/>
                <w:szCs w:val="21"/>
              </w:rPr>
              <w:t>年</w:t>
            </w:r>
            <w:r>
              <w:rPr>
                <w:color w:val="000000"/>
                <w:sz w:val="21"/>
                <w:szCs w:val="21"/>
              </w:rPr>
              <w:t>。</w:t>
            </w:r>
          </w:p>
          <w:p>
            <w:pPr>
              <w:snapToGrid/>
              <w:spacing w:line="360" w:lineRule="auto"/>
              <w:ind w:firstLine="420"/>
              <w:rPr>
                <w:color w:val="000000"/>
                <w:sz w:val="21"/>
                <w:szCs w:val="21"/>
              </w:rPr>
            </w:pPr>
            <w:r>
              <w:rPr>
                <w:rFonts w:hint="eastAsia" w:ascii="Times New Roman" w:hAnsi="Times New Roman" w:cs="Times New Roman"/>
                <w:sz w:val="21"/>
                <w:szCs w:val="24"/>
                <w:lang w:eastAsia="zh-CN"/>
              </w:rPr>
              <w:t>采用露天方式进行开采，矿山建筑用砂岩采用圆盘锯和串珠式金刚绳锯石机锯切法的采矿工艺，荒料经过分离、切割，吊车吊装，用装载机或挖掘机装车，自卸汽车经矿山运输公路外运至加工厂进行加工。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trPr>
        <w:tc>
          <w:tcPr>
            <w:tcW w:w="8568" w:type="dxa"/>
            <w:gridSpan w:val="4"/>
            <w:vAlign w:val="top"/>
          </w:tcPr>
          <w:p>
            <w:pPr>
              <w:snapToGrid/>
              <w:spacing w:line="400" w:lineRule="exact"/>
              <w:ind w:firstLine="0" w:firstLineChars="0"/>
              <w:jc w:val="left"/>
              <w:rPr>
                <w:b/>
                <w:color w:val="000000"/>
                <w:kern w:val="0"/>
                <w:sz w:val="21"/>
                <w:szCs w:val="21"/>
              </w:rPr>
            </w:pPr>
            <w:r>
              <w:rPr>
                <w:b/>
                <w:color w:val="000000"/>
                <w:kern w:val="0"/>
                <w:sz w:val="21"/>
                <w:szCs w:val="21"/>
              </w:rPr>
              <w:t>调查内容：</w:t>
            </w:r>
          </w:p>
          <w:p>
            <w:pPr>
              <w:snapToGrid/>
              <w:spacing w:line="400" w:lineRule="exact"/>
              <w:ind w:firstLine="0" w:firstLineChars="0"/>
              <w:jc w:val="left"/>
              <w:rPr>
                <w:color w:val="000000"/>
                <w:kern w:val="0"/>
                <w:sz w:val="21"/>
                <w:szCs w:val="21"/>
              </w:rPr>
            </w:pPr>
            <w:r>
              <w:rPr>
                <w:color w:val="000000"/>
                <w:kern w:val="0"/>
                <w:sz w:val="21"/>
                <w:szCs w:val="21"/>
              </w:rPr>
              <w:t>（1）您对项目所在区域的环境质量现状是否满意？（如不满意请说明主要原因）</w:t>
            </w:r>
          </w:p>
          <w:p>
            <w:pPr>
              <w:snapToGrid/>
              <w:spacing w:line="400" w:lineRule="exact"/>
              <w:ind w:left="-103" w:leftChars="-43" w:firstLine="420"/>
              <w:jc w:val="left"/>
              <w:rPr>
                <w:color w:val="000000"/>
                <w:kern w:val="0"/>
                <w:sz w:val="21"/>
                <w:szCs w:val="21"/>
              </w:rPr>
            </w:pPr>
            <w:r>
              <w:rPr>
                <w:color w:val="000000"/>
                <w:kern w:val="0"/>
                <w:sz w:val="21"/>
                <w:szCs w:val="21"/>
              </w:rPr>
              <w:t xml:space="preserve"> □很满意    □较满意    □不满意    □很不满意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（2）您是否了解在该地区拟建的项目？</w:t>
            </w:r>
          </w:p>
          <w:p>
            <w:pPr>
              <w:snapToGrid/>
              <w:spacing w:line="400" w:lineRule="exact"/>
              <w:ind w:left="-103" w:leftChars="-43" w:firstLine="420"/>
              <w:jc w:val="left"/>
              <w:rPr>
                <w:color w:val="000000"/>
                <w:kern w:val="0"/>
                <w:sz w:val="21"/>
                <w:szCs w:val="21"/>
              </w:rPr>
            </w:pPr>
            <w:r>
              <w:rPr>
                <w:color w:val="000000"/>
                <w:kern w:val="0"/>
                <w:sz w:val="21"/>
                <w:szCs w:val="21"/>
              </w:rPr>
              <w:t xml:space="preserve"> □不了解    □知道一点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（3）您是从何种渠道了解该项目的信息?</w:t>
            </w:r>
          </w:p>
          <w:p>
            <w:pPr>
              <w:snapToGrid/>
              <w:spacing w:line="400" w:lineRule="exact"/>
              <w:ind w:left="-103" w:leftChars="-43" w:firstLine="420"/>
              <w:jc w:val="left"/>
              <w:rPr>
                <w:color w:val="000000"/>
                <w:kern w:val="0"/>
                <w:sz w:val="21"/>
                <w:szCs w:val="21"/>
              </w:rPr>
            </w:pPr>
            <w:r>
              <w:rPr>
                <w:color w:val="000000"/>
                <w:kern w:val="0"/>
                <w:sz w:val="21"/>
                <w:szCs w:val="21"/>
              </w:rPr>
              <w:t xml:space="preserve"> □报纸    □网站公示    □标牌宣传    □其它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（4）根据您掌握的情况，认为该项目对环境质量造成的危害/影响是?</w:t>
            </w:r>
          </w:p>
          <w:p>
            <w:pPr>
              <w:snapToGrid/>
              <w:spacing w:line="400" w:lineRule="exact"/>
              <w:ind w:left="-103" w:leftChars="-43" w:firstLine="420"/>
              <w:jc w:val="left"/>
              <w:rPr>
                <w:color w:val="000000"/>
                <w:kern w:val="0"/>
                <w:sz w:val="21"/>
                <w:szCs w:val="21"/>
              </w:rPr>
            </w:pPr>
            <w:r>
              <w:rPr>
                <w:color w:val="000000"/>
                <w:kern w:val="0"/>
                <w:sz w:val="21"/>
                <w:szCs w:val="21"/>
              </w:rPr>
              <w:t xml:space="preserve"> □严重    □较大    □一般    □较小    □不清楚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（5）您认为本项目施工期对项目周边环境最突出的影响表现在哪一方面？</w:t>
            </w:r>
          </w:p>
          <w:p>
            <w:pPr>
              <w:snapToGrid/>
              <w:spacing w:line="400" w:lineRule="exact"/>
              <w:ind w:left="-103" w:leftChars="-43" w:firstLine="525" w:firstLineChars="250"/>
              <w:jc w:val="left"/>
              <w:rPr>
                <w:color w:val="000000"/>
                <w:kern w:val="0"/>
                <w:sz w:val="21"/>
                <w:szCs w:val="21"/>
              </w:rPr>
            </w:pPr>
            <w:r>
              <w:rPr>
                <w:color w:val="000000"/>
                <w:kern w:val="0"/>
                <w:sz w:val="21"/>
                <w:szCs w:val="21"/>
              </w:rPr>
              <w:t>□废水    □废气    □噪声    □固废    □生态破坏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（6）您认为本项目营运期对项目周边环境最突出的影响表现在哪一方面？</w:t>
            </w:r>
          </w:p>
          <w:p>
            <w:pPr>
              <w:snapToGrid/>
              <w:spacing w:line="400" w:lineRule="exact"/>
              <w:ind w:left="-103" w:leftChars="-43" w:firstLine="525" w:firstLineChars="250"/>
              <w:jc w:val="left"/>
              <w:rPr>
                <w:color w:val="000000"/>
                <w:kern w:val="0"/>
                <w:sz w:val="21"/>
                <w:szCs w:val="21"/>
              </w:rPr>
            </w:pPr>
            <w:r>
              <w:rPr>
                <w:color w:val="000000"/>
                <w:kern w:val="0"/>
                <w:sz w:val="21"/>
                <w:szCs w:val="21"/>
              </w:rPr>
              <w:t>□废水    □废气    □噪声    □固废    □生态破坏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（7）从环保角度出发，您认为本项目的建设实施还需从哪方面加强环保设施?（可另附页）</w:t>
            </w:r>
          </w:p>
          <w:p>
            <w:pPr>
              <w:snapToGrid/>
              <w:spacing w:line="400" w:lineRule="exact"/>
              <w:ind w:firstLine="420"/>
              <w:jc w:val="left"/>
              <w:rPr>
                <w:color w:val="000000"/>
                <w:kern w:val="0"/>
                <w:sz w:val="21"/>
                <w:szCs w:val="21"/>
              </w:rPr>
            </w:pPr>
            <w:r>
              <w:rPr>
                <w:color w:val="000000"/>
                <w:kern w:val="0"/>
                <w:sz w:val="21"/>
                <w:szCs w:val="21"/>
              </w:rPr>
              <w:t>□废水防治    □废气防治    □噪声防治    □固废治理    □生态保护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 w:hRule="atLeast"/>
        </w:trPr>
        <w:tc>
          <w:tcPr>
            <w:tcW w:w="8568" w:type="dxa"/>
            <w:gridSpan w:val="4"/>
            <w:vAlign w:val="top"/>
          </w:tcPr>
          <w:p>
            <w:pPr>
              <w:snapToGrid/>
              <w:spacing w:line="400" w:lineRule="exact"/>
              <w:ind w:firstLine="0" w:firstLineChars="0"/>
              <w:jc w:val="left"/>
              <w:rPr>
                <w:color w:val="000000"/>
                <w:kern w:val="0"/>
                <w:sz w:val="21"/>
                <w:szCs w:val="21"/>
              </w:rPr>
            </w:pPr>
            <w:r>
              <w:rPr>
                <w:color w:val="000000"/>
                <w:kern w:val="0"/>
                <w:sz w:val="21"/>
                <w:szCs w:val="21"/>
              </w:rPr>
              <w:t>（8）从环保角度出发，您对该项目持何种态度，简要说明原因?（可另附页）</w:t>
            </w:r>
          </w:p>
          <w:p>
            <w:pPr>
              <w:snapToGrid/>
              <w:spacing w:line="400" w:lineRule="exact"/>
              <w:ind w:firstLine="420"/>
              <w:jc w:val="left"/>
              <w:rPr>
                <w:color w:val="000000"/>
                <w:kern w:val="0"/>
                <w:sz w:val="21"/>
                <w:szCs w:val="21"/>
              </w:rPr>
            </w:pPr>
            <w:r>
              <w:rPr>
                <w:color w:val="000000"/>
                <w:kern w:val="0"/>
                <w:sz w:val="21"/>
                <w:szCs w:val="21"/>
              </w:rPr>
              <w:t>□坚决支持    □有条件赞成    □无所谓    □反对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8568" w:type="dxa"/>
            <w:gridSpan w:val="4"/>
            <w:vAlign w:val="top"/>
          </w:tcPr>
          <w:p>
            <w:pPr>
              <w:snapToGrid/>
              <w:spacing w:line="360" w:lineRule="auto"/>
              <w:ind w:firstLine="0" w:firstLineChars="0"/>
              <w:jc w:val="left"/>
              <w:rPr>
                <w:color w:val="000000"/>
                <w:kern w:val="0"/>
                <w:sz w:val="21"/>
                <w:szCs w:val="21"/>
              </w:rPr>
            </w:pPr>
            <w:r>
              <w:rPr>
                <w:color w:val="000000"/>
                <w:kern w:val="0"/>
                <w:sz w:val="21"/>
                <w:szCs w:val="21"/>
              </w:rPr>
              <w:t>（9）您对该项目环保方面有何建议和要求？（可另附页）</w:t>
            </w:r>
          </w:p>
          <w:p>
            <w:pPr>
              <w:snapToGrid/>
              <w:spacing w:line="360" w:lineRule="auto"/>
              <w:ind w:firstLine="0" w:firstLineChars="0"/>
              <w:jc w:val="left"/>
              <w:rPr>
                <w:color w:val="000000"/>
                <w:kern w:val="0"/>
                <w:sz w:val="21"/>
                <w:szCs w:val="21"/>
              </w:rPr>
            </w:pPr>
          </w:p>
          <w:p>
            <w:pPr>
              <w:snapToGrid/>
              <w:spacing w:line="360" w:lineRule="auto"/>
              <w:ind w:firstLine="0" w:firstLineChars="0"/>
              <w:jc w:val="left"/>
              <w:rPr>
                <w:color w:val="000000"/>
                <w:kern w:val="0"/>
                <w:sz w:val="21"/>
                <w:szCs w:val="21"/>
              </w:rPr>
            </w:pPr>
          </w:p>
        </w:tc>
      </w:tr>
    </w:tbl>
    <w:p>
      <w:pPr>
        <w:ind w:firstLine="480"/>
        <w:rPr>
          <w:rFonts w:hint="eastAsia"/>
        </w:rPr>
      </w:pPr>
      <w:bookmarkStart w:id="23" w:name="_Toc470699952"/>
      <w:bookmarkStart w:id="24" w:name="_Toc511031492"/>
      <w:bookmarkStart w:id="25" w:name="_Toc514158391"/>
      <w:r>
        <w:rPr>
          <w:rFonts w:hint="eastAsia"/>
        </w:rPr>
        <w:t>为</w:t>
      </w:r>
      <w:r>
        <w:t>使调查的对象具有代表性，本次评价在项目附近随机挑选调查对象进行调查，共发放公众意见调查表</w:t>
      </w:r>
      <w:r>
        <w:rPr>
          <w:rFonts w:hint="eastAsia"/>
        </w:rPr>
        <w:t>50</w:t>
      </w:r>
      <w:r>
        <w:t>份，收回</w:t>
      </w:r>
      <w:r>
        <w:rPr>
          <w:rFonts w:hint="eastAsia"/>
        </w:rPr>
        <w:t>50</w:t>
      </w:r>
      <w:r>
        <w:t>份</w:t>
      </w:r>
      <w:r>
        <w:rPr>
          <w:rFonts w:hint="eastAsia"/>
        </w:rPr>
        <w:t>，</w:t>
      </w:r>
      <w:r>
        <w:t>回收率达100%，调查对象以项目周边农户。公众参与人群涉及不同性别、年龄、文化程度、职业等方面，具有一定的代表性。具体见下表。</w:t>
      </w:r>
    </w:p>
    <w:p>
      <w:pPr>
        <w:snapToGrid/>
        <w:spacing w:line="240" w:lineRule="auto"/>
        <w:ind w:firstLine="0" w:firstLineChars="0"/>
        <w:jc w:val="center"/>
        <w:rPr>
          <w:rFonts w:hAnsi="宋体"/>
          <w:b/>
          <w:szCs w:val="24"/>
        </w:rPr>
      </w:pPr>
      <w:r>
        <w:rPr>
          <w:rFonts w:hAnsi="宋体"/>
          <w:b/>
          <w:szCs w:val="24"/>
        </w:rPr>
        <w:t>表</w:t>
      </w:r>
      <w:r>
        <w:rPr>
          <w:rFonts w:hint="eastAsia" w:hAnsi="宋体"/>
          <w:b/>
          <w:szCs w:val="24"/>
        </w:rPr>
        <w:t>5</w:t>
      </w:r>
      <w:r>
        <w:rPr>
          <w:rFonts w:hAnsi="宋体"/>
          <w:b/>
          <w:szCs w:val="24"/>
        </w:rPr>
        <w:t>-2</w:t>
      </w:r>
      <w:r>
        <w:rPr>
          <w:rFonts w:hint="eastAsia" w:hAnsi="宋体"/>
          <w:b/>
          <w:szCs w:val="24"/>
        </w:rPr>
        <w:t xml:space="preserve">  </w:t>
      </w:r>
      <w:r>
        <w:rPr>
          <w:rFonts w:hAnsi="宋体"/>
          <w:b/>
          <w:szCs w:val="24"/>
        </w:rPr>
        <w:t>公众调查人员一览表</w:t>
      </w:r>
    </w:p>
    <w:tbl>
      <w:tblPr>
        <w:tblStyle w:val="13"/>
        <w:tblW w:w="8522" w:type="dxa"/>
        <w:jc w:val="center"/>
        <w:tblInd w:w="0" w:type="dxa"/>
        <w:tblLayout w:type="fixed"/>
        <w:tblCellMar>
          <w:top w:w="0" w:type="dxa"/>
          <w:left w:w="108" w:type="dxa"/>
          <w:bottom w:w="0" w:type="dxa"/>
          <w:right w:w="108" w:type="dxa"/>
        </w:tblCellMar>
      </w:tblPr>
      <w:tblGrid>
        <w:gridCol w:w="456"/>
        <w:gridCol w:w="900"/>
        <w:gridCol w:w="696"/>
        <w:gridCol w:w="805"/>
        <w:gridCol w:w="668"/>
        <w:gridCol w:w="1513"/>
        <w:gridCol w:w="3484"/>
      </w:tblGrid>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top"/>
          </w:tcPr>
          <w:p>
            <w:pPr>
              <w:widowControl/>
              <w:snapToGrid/>
              <w:spacing w:line="240" w:lineRule="auto"/>
              <w:ind w:firstLine="0" w:firstLineChars="0"/>
              <w:jc w:val="center"/>
              <w:rPr>
                <w:kern w:val="0"/>
                <w:sz w:val="21"/>
                <w:szCs w:val="21"/>
              </w:rPr>
            </w:pPr>
            <w:r>
              <w:rPr>
                <w:rFonts w:hint="eastAsia"/>
                <w:kern w:val="0"/>
                <w:sz w:val="21"/>
                <w:szCs w:val="21"/>
              </w:rPr>
              <w:t>序号</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kern w:val="0"/>
                <w:sz w:val="21"/>
                <w:szCs w:val="21"/>
              </w:rPr>
              <w:t>姓名</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kern w:val="0"/>
                <w:sz w:val="21"/>
                <w:szCs w:val="21"/>
              </w:rPr>
              <w:t>性别</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kern w:val="0"/>
                <w:sz w:val="21"/>
                <w:szCs w:val="21"/>
              </w:rPr>
              <w:t>文化程度</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kern w:val="0"/>
                <w:sz w:val="21"/>
                <w:szCs w:val="21"/>
              </w:rPr>
              <w:t>年龄</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kern w:val="0"/>
                <w:sz w:val="21"/>
                <w:szCs w:val="21"/>
              </w:rPr>
              <w:t>联系方式</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kern w:val="0"/>
                <w:sz w:val="21"/>
                <w:szCs w:val="21"/>
              </w:rPr>
              <w:t>住址/工作地</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唐均华</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color w:val="000000"/>
                <w:kern w:val="0"/>
                <w:sz w:val="21"/>
                <w:szCs w:val="21"/>
                <w:lang w:eastAsia="zh-CN"/>
              </w:rPr>
            </w:pPr>
            <w:r>
              <w:rPr>
                <w:rFonts w:hint="eastAsia"/>
                <w:color w:val="000000"/>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53</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13398279256</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泸县云龙镇战旗村二社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沈明书</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52</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15328340493</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纳溪区上马镇台太平村</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杨昌益</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54</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18383018357</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杨林秀</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80</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5</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晏文章</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高中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49</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13882793336</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6</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杨文秀</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64</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7</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吴永全</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83</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17341555020</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8</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杨昌平</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15196088503</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9</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罗泽文</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53</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15983042456</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10</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夏文凤</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66</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17780109213</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11</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冯有全</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63</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15283005580</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12</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晏文岗</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高中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37</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15228282229</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13</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向告彬</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50</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13541484895</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高加嘴六社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14</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晏文昌</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45</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18388681428</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15</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杨国清</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13980241844</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eastAsia="zh-CN"/>
              </w:rPr>
              <w:t>云龙镇大水河村</w:t>
            </w:r>
            <w:r>
              <w:rPr>
                <w:rFonts w:hint="eastAsia"/>
                <w:kern w:val="0"/>
                <w:sz w:val="21"/>
                <w:szCs w:val="21"/>
                <w:lang w:val="en-US" w:eastAsia="zh-CN"/>
              </w:rPr>
              <w:t>1队</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16</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刘光清</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55</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15328407242</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云龙镇上学堂</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17</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许多炎</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15181414683</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云龙镇大水河村</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18</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晏启伦</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高中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80</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13398298578</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19</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赵昌城</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44</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17360574151</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纳溪区上马镇团山九社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20</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王家军</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17738571925</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云龙镇杨高二社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21</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李仕全</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56</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18715721463</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22</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沈明富</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48</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13551664597</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纳溪区上马镇太平村</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23</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肖永生</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初中</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49</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18208380844</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纳溪区护国镇高桥村三社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24</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钟树华</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48</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云龙镇高家咀六社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25</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钟海全</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18583036953</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云龙镇高家咀六社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26</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张中芊</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50</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18715735809</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泸县得胜镇得胜村六组</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27</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曾一辉</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52</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28</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蒲国华</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59</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15228278305</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云龙镇茅坎五社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29</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胡光树</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云龙镇大水河一社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30</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杨昌全</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val="en-US" w:eastAsia="zh-CN"/>
              </w:rPr>
              <w:t>55</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13982717961</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31</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王宗华</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50</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17378972721</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泸县云龙阳高山村二社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32</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晏文良</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50</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13281616879</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33</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熊嵘</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56</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13882793286</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34</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苏安波</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33</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15228238717</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云龙镇杨高七社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35</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张小车</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33</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15181955714</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eastAsia="zh-CN"/>
              </w:rPr>
              <w:t>隆昌县黄荆林</w:t>
            </w:r>
            <w:r>
              <w:rPr>
                <w:rFonts w:hint="eastAsia"/>
                <w:kern w:val="0"/>
                <w:sz w:val="21"/>
                <w:szCs w:val="21"/>
                <w:lang w:val="en-US" w:eastAsia="zh-CN"/>
              </w:rPr>
              <w:t>1组</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36</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李林</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26</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18111175856</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泸县云龙镇云丰村二社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37</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李阳</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初中</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29</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17760447728</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泸县云龙镇云丰村二社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38</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邓刚</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25</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13219377226</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泸县云龙镇云丰村二社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39</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潘洪芬</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65</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13419165543</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云龙镇扬高七社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40</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罗小兰</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32</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15183069869</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41</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刘洪超</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32</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18715826280</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42</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汤明秀</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55</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15881996029</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43</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晏桃</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中专</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25</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15196060634</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44</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晏勇</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大专</w:t>
            </w:r>
          </w:p>
        </w:tc>
        <w:tc>
          <w:tcPr>
            <w:tcW w:w="668" w:type="dxa"/>
            <w:tcBorders>
              <w:top w:val="nil"/>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21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17341551020</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45</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冯有全</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55</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13458720636</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46</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王菊</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36</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15386572528</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47</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rPr>
                <w:rFonts w:hint="eastAsia" w:eastAsia="宋体"/>
                <w:kern w:val="0"/>
                <w:sz w:val="21"/>
                <w:szCs w:val="21"/>
                <w:lang w:eastAsia="zh-CN"/>
              </w:rPr>
            </w:pPr>
            <w:r>
              <w:rPr>
                <w:rFonts w:hint="eastAsia"/>
                <w:kern w:val="0"/>
                <w:sz w:val="21"/>
                <w:szCs w:val="21"/>
                <w:lang w:eastAsia="zh-CN"/>
              </w:rPr>
              <w:t>胡怀英</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53</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15351288561</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48</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冯有彬</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初中</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51</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15892911488</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nil"/>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49</w:t>
            </w:r>
          </w:p>
        </w:tc>
        <w:tc>
          <w:tcPr>
            <w:tcW w:w="900" w:type="dxa"/>
            <w:tcBorders>
              <w:top w:val="nil"/>
              <w:left w:val="single" w:color="auto" w:sz="4" w:space="0"/>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陈仕莲</w:t>
            </w:r>
          </w:p>
        </w:tc>
        <w:tc>
          <w:tcPr>
            <w:tcW w:w="696"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女</w:t>
            </w:r>
          </w:p>
        </w:tc>
        <w:tc>
          <w:tcPr>
            <w:tcW w:w="805"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小学</w:t>
            </w:r>
          </w:p>
        </w:tc>
        <w:tc>
          <w:tcPr>
            <w:tcW w:w="668"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50</w:t>
            </w:r>
          </w:p>
        </w:tc>
        <w:tc>
          <w:tcPr>
            <w:tcW w:w="1513"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13980246379</w:t>
            </w:r>
          </w:p>
        </w:tc>
        <w:tc>
          <w:tcPr>
            <w:tcW w:w="3484" w:type="dxa"/>
            <w:tcBorders>
              <w:top w:val="nil"/>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r>
        <w:tblPrEx>
          <w:tblLayout w:type="fixed"/>
          <w:tblCellMar>
            <w:top w:w="0" w:type="dxa"/>
            <w:left w:w="108" w:type="dxa"/>
            <w:bottom w:w="0" w:type="dxa"/>
            <w:right w:w="108" w:type="dxa"/>
          </w:tblCellMar>
        </w:tblPrEx>
        <w:trPr>
          <w:trHeight w:val="285" w:hRule="atLeast"/>
          <w:jc w:val="center"/>
        </w:trPr>
        <w:tc>
          <w:tcPr>
            <w:tcW w:w="456" w:type="dxa"/>
            <w:tcBorders>
              <w:top w:val="single" w:color="auto" w:sz="4" w:space="0"/>
              <w:left w:val="single" w:color="auto" w:sz="4" w:space="0"/>
              <w:bottom w:val="single" w:color="auto" w:sz="4" w:space="0"/>
              <w:right w:val="single" w:color="auto" w:sz="4" w:space="0"/>
            </w:tcBorders>
            <w:shd w:val="clear" w:color="auto" w:fill="auto"/>
            <w:vAlign w:val="bottom"/>
          </w:tcPr>
          <w:p>
            <w:pPr>
              <w:snapToGrid/>
              <w:spacing w:line="240" w:lineRule="auto"/>
              <w:ind w:firstLine="0" w:firstLineChars="0"/>
              <w:jc w:val="center"/>
              <w:rPr>
                <w:rFonts w:ascii="宋体" w:hAnsi="宋体" w:cs="宋体"/>
                <w:color w:val="000000"/>
                <w:sz w:val="22"/>
              </w:rPr>
            </w:pPr>
            <w:r>
              <w:rPr>
                <w:rFonts w:hint="eastAsia"/>
                <w:color w:val="000000"/>
                <w:sz w:val="22"/>
              </w:rPr>
              <w:t>50</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张仕华</w:t>
            </w:r>
          </w:p>
        </w:tc>
        <w:tc>
          <w:tcPr>
            <w:tcW w:w="696"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男</w:t>
            </w:r>
          </w:p>
        </w:tc>
        <w:tc>
          <w:tcPr>
            <w:tcW w:w="805" w:type="dxa"/>
            <w:tcBorders>
              <w:top w:val="single" w:color="auto" w:sz="4" w:space="0"/>
              <w:left w:val="nil"/>
              <w:bottom w:val="single" w:color="auto" w:sz="4" w:space="0"/>
              <w:right w:val="single" w:color="auto" w:sz="4" w:space="0"/>
            </w:tcBorders>
            <w:shd w:val="clear" w:color="auto" w:fill="auto"/>
            <w:vAlign w:val="top"/>
          </w:tcPr>
          <w:p>
            <w:pPr>
              <w:snapToGrid/>
              <w:spacing w:line="240" w:lineRule="auto"/>
              <w:ind w:firstLine="0" w:firstLineChars="0"/>
              <w:jc w:val="center"/>
              <w:rPr>
                <w:rFonts w:hint="eastAsia" w:eastAsia="宋体"/>
                <w:sz w:val="21"/>
                <w:szCs w:val="24"/>
                <w:lang w:eastAsia="zh-CN"/>
              </w:rPr>
            </w:pPr>
            <w:r>
              <w:rPr>
                <w:rFonts w:hint="eastAsia"/>
                <w:sz w:val="21"/>
                <w:szCs w:val="24"/>
                <w:lang w:eastAsia="zh-CN"/>
              </w:rPr>
              <w:t>小学</w:t>
            </w:r>
          </w:p>
        </w:tc>
        <w:tc>
          <w:tcPr>
            <w:tcW w:w="668" w:type="dxa"/>
            <w:tcBorders>
              <w:top w:val="single" w:color="auto" w:sz="4" w:space="0"/>
              <w:left w:val="nil"/>
              <w:bottom w:val="single" w:color="auto" w:sz="4" w:space="0"/>
              <w:right w:val="single" w:color="auto" w:sz="4" w:space="0"/>
            </w:tcBorders>
            <w:shd w:val="clear" w:color="auto" w:fill="auto"/>
            <w:vAlign w:val="center"/>
          </w:tcPr>
          <w:p>
            <w:pPr>
              <w:widowControl/>
              <w:adjustRightInd w:val="0"/>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59</w:t>
            </w:r>
          </w:p>
        </w:tc>
        <w:tc>
          <w:tcPr>
            <w:tcW w:w="1513"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15348216304</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napToGrid/>
              <w:spacing w:line="240" w:lineRule="auto"/>
              <w:ind w:firstLine="0" w:firstLineChars="0"/>
              <w:jc w:val="center"/>
              <w:rPr>
                <w:kern w:val="0"/>
                <w:sz w:val="21"/>
                <w:szCs w:val="21"/>
              </w:rPr>
            </w:pPr>
            <w:r>
              <w:rPr>
                <w:rFonts w:hint="eastAsia"/>
                <w:kern w:val="0"/>
                <w:sz w:val="21"/>
                <w:szCs w:val="21"/>
                <w:lang w:eastAsia="zh-CN"/>
              </w:rPr>
              <w:t>泸县云龙镇战旗村一社</w:t>
            </w:r>
          </w:p>
        </w:tc>
      </w:tr>
    </w:tbl>
    <w:p>
      <w:pPr>
        <w:pStyle w:val="4"/>
        <w:numPr>
          <w:numId w:val="0"/>
        </w:numPr>
        <w:ind w:left="425" w:leftChars="0"/>
        <w:jc w:val="center"/>
        <w:rPr>
          <w:rFonts w:hint="eastAsia"/>
          <w:lang w:val="en-US" w:eastAsia="zh-CN"/>
        </w:rPr>
        <w:sectPr>
          <w:footerReference r:id="rId9" w:type="default"/>
          <w:pgSz w:w="11906" w:h="16838"/>
          <w:pgMar w:top="1440" w:right="1800" w:bottom="1440" w:left="1800" w:header="851" w:footer="992" w:gutter="0"/>
          <w:pgNumType w:start="1"/>
          <w:cols w:space="425" w:num="1"/>
          <w:docGrid w:type="lines" w:linePitch="312" w:charSpace="0"/>
        </w:sectPr>
      </w:pPr>
    </w:p>
    <w:p>
      <w:pPr>
        <w:pStyle w:val="4"/>
        <w:numPr>
          <w:numId w:val="0"/>
        </w:numPr>
        <w:ind w:left="425" w:leftChars="0"/>
        <w:jc w:val="center"/>
      </w:pPr>
      <w:r>
        <w:rPr>
          <w:rFonts w:hint="eastAsia"/>
          <w:lang w:val="en-US" w:eastAsia="zh-CN"/>
        </w:rPr>
        <w:t>6</w:t>
      </w:r>
      <w:r>
        <w:rPr>
          <w:rFonts w:hint="eastAsia"/>
        </w:rPr>
        <w:t>公众意见调查结果及分析</w:t>
      </w:r>
      <w:bookmarkEnd w:id="23"/>
      <w:bookmarkEnd w:id="24"/>
      <w:bookmarkEnd w:id="25"/>
    </w:p>
    <w:p>
      <w:pPr>
        <w:pStyle w:val="5"/>
        <w:numPr>
          <w:numId w:val="0"/>
        </w:numPr>
        <w:ind w:leftChars="0"/>
      </w:pPr>
      <w:bookmarkStart w:id="26" w:name="_Toc511031493"/>
      <w:bookmarkStart w:id="27" w:name="_Toc514158392"/>
      <w:r>
        <w:rPr>
          <w:rFonts w:hint="eastAsia"/>
          <w:lang w:val="en-US" w:eastAsia="zh-CN"/>
        </w:rPr>
        <w:t xml:space="preserve">6.1 </w:t>
      </w:r>
      <w:r>
        <w:rPr>
          <w:rFonts w:hint="eastAsia"/>
        </w:rPr>
        <w:t>网络公示结果</w:t>
      </w:r>
      <w:bookmarkEnd w:id="26"/>
      <w:bookmarkEnd w:id="27"/>
    </w:p>
    <w:p>
      <w:pPr>
        <w:ind w:firstLine="480"/>
        <w:rPr>
          <w:rFonts w:ascii="宋体" w:cs="宋体"/>
        </w:rPr>
      </w:pPr>
      <w:r>
        <w:rPr>
          <w:rFonts w:hint="eastAsia" w:ascii="宋体" w:cs="宋体"/>
        </w:rPr>
        <w:t>在</w:t>
      </w:r>
      <w:r>
        <w:rPr>
          <w:rFonts w:hint="eastAsia" w:ascii="宋体" w:cs="宋体"/>
          <w:lang w:eastAsia="zh-CN"/>
        </w:rPr>
        <w:t>两</w:t>
      </w:r>
      <w:r>
        <w:rPr>
          <w:rFonts w:hint="eastAsia" w:ascii="宋体" w:cs="宋体"/>
        </w:rPr>
        <w:t>次公示期内均未收到任何形式的公众反馈意见。</w:t>
      </w:r>
    </w:p>
    <w:p>
      <w:pPr>
        <w:pStyle w:val="5"/>
        <w:numPr>
          <w:numId w:val="0"/>
        </w:numPr>
        <w:ind w:leftChars="0"/>
      </w:pPr>
      <w:bookmarkStart w:id="28" w:name="_Toc514158393"/>
      <w:bookmarkStart w:id="29" w:name="_Toc511031494"/>
      <w:r>
        <w:rPr>
          <w:rFonts w:hint="eastAsia"/>
          <w:lang w:val="en-US" w:eastAsia="zh-CN"/>
        </w:rPr>
        <w:t>6.2</w:t>
      </w:r>
      <w:r>
        <w:t>“</w:t>
      </w:r>
      <w:r>
        <w:rPr>
          <w:rFonts w:hint="eastAsia"/>
        </w:rPr>
        <w:t>公众参与调查表</w:t>
      </w:r>
      <w:r>
        <w:t>”</w:t>
      </w:r>
      <w:r>
        <w:rPr>
          <w:rFonts w:hint="eastAsia"/>
        </w:rPr>
        <w:t>结果</w:t>
      </w:r>
      <w:bookmarkEnd w:id="28"/>
      <w:bookmarkEnd w:id="29"/>
    </w:p>
    <w:p>
      <w:pPr>
        <w:ind w:firstLine="480"/>
      </w:pPr>
      <w:r>
        <w:rPr>
          <w:rFonts w:hint="eastAsia"/>
        </w:rPr>
        <w:t>本次公众参与调查主要在项目</w:t>
      </w:r>
      <w:r>
        <w:t>建设</w:t>
      </w:r>
      <w:r>
        <w:rPr>
          <w:rFonts w:hint="eastAsia"/>
        </w:rPr>
        <w:t>所在地</w:t>
      </w:r>
      <w:r>
        <w:t>周边进行。</w:t>
      </w:r>
      <w:r>
        <w:rPr>
          <w:rFonts w:hint="eastAsia"/>
        </w:rPr>
        <w:t>在问卷调查结束后，我公司进行了调差</w:t>
      </w:r>
      <w:r>
        <w:t>结果</w:t>
      </w:r>
      <w:r>
        <w:rPr>
          <w:rFonts w:hint="eastAsia"/>
        </w:rPr>
        <w:t>统计。</w:t>
      </w:r>
    </w:p>
    <w:p>
      <w:pPr>
        <w:pStyle w:val="6"/>
        <w:spacing w:before="156"/>
        <w:rPr>
          <w:rFonts w:ascii="宋体" w:hAnsi="Calibri" w:cs="宋体"/>
          <w:kern w:val="0"/>
          <w:szCs w:val="24"/>
        </w:rPr>
      </w:pPr>
      <w:r>
        <w:rPr>
          <w:rFonts w:hint="eastAsia"/>
        </w:rPr>
        <w:t>表</w:t>
      </w:r>
      <w:r>
        <w:t xml:space="preserve">6-1 </w:t>
      </w:r>
      <w:r>
        <w:rPr>
          <w:rFonts w:hint="eastAsia" w:ascii="宋体" w:hAnsi="Calibri" w:cs="宋体"/>
          <w:kern w:val="0"/>
          <w:szCs w:val="24"/>
        </w:rPr>
        <w:t>公众参与调查统计结果</w:t>
      </w:r>
    </w:p>
    <w:tbl>
      <w:tblPr>
        <w:tblStyle w:val="13"/>
        <w:tblW w:w="8300" w:type="dxa"/>
        <w:jc w:val="center"/>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80"/>
        <w:gridCol w:w="3864"/>
        <w:gridCol w:w="1276"/>
        <w:gridCol w:w="1300"/>
        <w:gridCol w:w="108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jc w:val="center"/>
        </w:trPr>
        <w:tc>
          <w:tcPr>
            <w:tcW w:w="780"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序号</w:t>
            </w:r>
          </w:p>
        </w:tc>
        <w:tc>
          <w:tcPr>
            <w:tcW w:w="3864"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内容</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选项</w:t>
            </w:r>
          </w:p>
        </w:tc>
        <w:tc>
          <w:tcPr>
            <w:tcW w:w="1300" w:type="dxa"/>
            <w:shd w:val="clear" w:color="auto" w:fill="auto"/>
            <w:vAlign w:val="center"/>
          </w:tcPr>
          <w:p>
            <w:pPr>
              <w:pStyle w:val="15"/>
              <w:spacing w:before="31" w:after="31"/>
              <w:rPr>
                <w:rFonts w:hint="eastAsia"/>
              </w:rPr>
            </w:pPr>
            <w:r>
              <w:rPr>
                <w:rFonts w:hint="eastAsia"/>
              </w:rPr>
              <w:t>人数</w:t>
            </w:r>
          </w:p>
        </w:tc>
        <w:tc>
          <w:tcPr>
            <w:tcW w:w="1080" w:type="dxa"/>
            <w:shd w:val="clear" w:color="auto" w:fill="auto"/>
            <w:vAlign w:val="center"/>
          </w:tcPr>
          <w:p>
            <w:pPr>
              <w:pStyle w:val="15"/>
              <w:spacing w:before="31" w:after="31"/>
              <w:rPr>
                <w:rFonts w:hint="eastAsia"/>
              </w:rPr>
            </w:pPr>
            <w:r>
              <w:rPr>
                <w:rFonts w:hint="eastAsia"/>
              </w:rPr>
              <w:t>百分比</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rFonts w:hint="eastAsia"/>
                <w:color w:val="000000"/>
                <w:kern w:val="0"/>
                <w:sz w:val="21"/>
                <w:szCs w:val="21"/>
              </w:rPr>
            </w:pPr>
            <w:r>
              <w:rPr>
                <w:color w:val="000000"/>
                <w:kern w:val="0"/>
                <w:sz w:val="21"/>
                <w:szCs w:val="21"/>
              </w:rPr>
              <w:t>1</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您对项目所在区域的环境质量现状是否满意？</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很满意</w:t>
            </w:r>
          </w:p>
        </w:tc>
        <w:tc>
          <w:tcPr>
            <w:tcW w:w="1300" w:type="dxa"/>
            <w:shd w:val="clear" w:color="auto" w:fill="auto"/>
            <w:vAlign w:val="top"/>
          </w:tcPr>
          <w:p>
            <w:pPr>
              <w:pStyle w:val="15"/>
              <w:spacing w:before="31" w:after="31"/>
              <w:rPr>
                <w:rFonts w:hint="eastAsia" w:eastAsia="宋体"/>
                <w:lang w:eastAsia="zh-CN"/>
              </w:rPr>
            </w:pPr>
            <w:r>
              <w:rPr>
                <w:rFonts w:hint="eastAsia"/>
                <w:lang w:val="en-US" w:eastAsia="zh-CN"/>
              </w:rPr>
              <w:t>7</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14%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较满意</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43</w:t>
            </w:r>
          </w:p>
        </w:tc>
        <w:tc>
          <w:tcPr>
            <w:tcW w:w="1080" w:type="dxa"/>
            <w:shd w:val="clear" w:color="auto" w:fill="auto"/>
            <w:vAlign w:val="center"/>
          </w:tcPr>
          <w:p>
            <w:pPr>
              <w:pStyle w:val="15"/>
              <w:spacing w:before="31" w:after="31"/>
              <w:rPr>
                <w:szCs w:val="24"/>
              </w:rPr>
            </w:pPr>
            <w:r>
              <w:rPr>
                <w:rFonts w:hint="eastAsia"/>
                <w:szCs w:val="24"/>
                <w:lang w:val="en-US" w:eastAsia="zh-CN"/>
              </w:rPr>
              <w:t>86</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lang w:eastAsia="zh-CN"/>
              </w:rPr>
              <w:t>不</w:t>
            </w:r>
            <w:r>
              <w:rPr>
                <w:rFonts w:hint="eastAsia" w:ascii="宋体" w:hAnsi="宋体" w:cs="宋体"/>
                <w:color w:val="000000"/>
                <w:kern w:val="0"/>
                <w:sz w:val="21"/>
                <w:szCs w:val="21"/>
              </w:rPr>
              <w:t>满意</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很不满意</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2</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您是否了解在该地区拟建的项目？</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不了解</w:t>
            </w:r>
          </w:p>
        </w:tc>
        <w:tc>
          <w:tcPr>
            <w:tcW w:w="1300" w:type="dxa"/>
            <w:shd w:val="clear" w:color="auto" w:fill="auto"/>
            <w:vAlign w:val="top"/>
          </w:tcPr>
          <w:p>
            <w:pPr>
              <w:pStyle w:val="15"/>
              <w:spacing w:before="31" w:after="31"/>
              <w:rPr>
                <w:rFonts w:hint="eastAsia" w:eastAsia="宋体"/>
                <w:lang w:eastAsia="zh-CN"/>
              </w:rPr>
            </w:pPr>
            <w:r>
              <w:rPr>
                <w:rFonts w:hint="eastAsia"/>
                <w:lang w:val="en-US" w:eastAsia="zh-CN"/>
              </w:rPr>
              <w:t>1</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知道一点</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49</w:t>
            </w:r>
          </w:p>
        </w:tc>
        <w:tc>
          <w:tcPr>
            <w:tcW w:w="1080" w:type="dxa"/>
            <w:shd w:val="clear" w:color="auto" w:fill="auto"/>
            <w:vAlign w:val="center"/>
          </w:tcPr>
          <w:p>
            <w:pPr>
              <w:pStyle w:val="15"/>
              <w:spacing w:before="31" w:after="31"/>
              <w:rPr>
                <w:szCs w:val="24"/>
              </w:rPr>
            </w:pPr>
            <w:r>
              <w:rPr>
                <w:rFonts w:hint="eastAsia"/>
                <w:szCs w:val="24"/>
                <w:lang w:val="en-US" w:eastAsia="zh-CN"/>
              </w:rPr>
              <w:t>98</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3</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您是从何种渠道了解该项目的信息?</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报纸</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网站公示</w:t>
            </w:r>
          </w:p>
        </w:tc>
        <w:tc>
          <w:tcPr>
            <w:tcW w:w="1300" w:type="dxa"/>
            <w:shd w:val="clear" w:color="auto" w:fill="auto"/>
            <w:vAlign w:val="top"/>
          </w:tcPr>
          <w:p>
            <w:pPr>
              <w:pStyle w:val="15"/>
              <w:spacing w:before="31" w:after="31"/>
              <w:rPr>
                <w:rFonts w:hint="eastAsia" w:eastAsia="宋体"/>
                <w:lang w:eastAsia="zh-CN"/>
              </w:rPr>
            </w:pPr>
            <w:r>
              <w:rPr>
                <w:rFonts w:hint="eastAsia"/>
                <w:lang w:val="en-US" w:eastAsia="zh-CN"/>
              </w:rPr>
              <w:t>1</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标牌宣传</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17</w:t>
            </w:r>
          </w:p>
        </w:tc>
        <w:tc>
          <w:tcPr>
            <w:tcW w:w="1080" w:type="dxa"/>
            <w:shd w:val="clear" w:color="auto" w:fill="auto"/>
            <w:vAlign w:val="center"/>
          </w:tcPr>
          <w:p>
            <w:pPr>
              <w:pStyle w:val="15"/>
              <w:spacing w:before="31" w:after="31"/>
              <w:rPr>
                <w:szCs w:val="24"/>
              </w:rPr>
            </w:pPr>
            <w:r>
              <w:rPr>
                <w:rFonts w:hint="eastAsia"/>
                <w:lang w:val="en-US" w:eastAsia="zh-CN"/>
              </w:rPr>
              <w:t>34</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其它</w:t>
            </w:r>
          </w:p>
        </w:tc>
        <w:tc>
          <w:tcPr>
            <w:tcW w:w="1300" w:type="dxa"/>
            <w:shd w:val="clear" w:color="auto" w:fill="auto"/>
            <w:vAlign w:val="top"/>
          </w:tcPr>
          <w:p>
            <w:pPr>
              <w:pStyle w:val="15"/>
              <w:spacing w:before="31" w:after="31"/>
              <w:rPr>
                <w:rFonts w:hint="eastAsia" w:eastAsia="宋体"/>
                <w:lang w:val="en-US" w:eastAsia="zh-CN"/>
              </w:rPr>
            </w:pPr>
            <w:r>
              <w:rPr>
                <w:rFonts w:hint="eastAsia"/>
                <w:lang w:val="en-US" w:eastAsia="zh-CN"/>
              </w:rPr>
              <w:t>32</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64%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4</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根据您掌握的情况，认为该项目对环境质量造成的危害/影响是?</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严重</w:t>
            </w:r>
          </w:p>
        </w:tc>
        <w:tc>
          <w:tcPr>
            <w:tcW w:w="1300" w:type="dxa"/>
            <w:shd w:val="clear" w:color="auto" w:fill="auto"/>
            <w:vAlign w:val="top"/>
          </w:tcPr>
          <w:p>
            <w:pPr>
              <w:pStyle w:val="15"/>
              <w:spacing w:before="31" w:after="31"/>
              <w:rPr>
                <w:rFonts w:hint="eastAsia" w:eastAsia="宋体"/>
                <w:lang w:eastAsia="zh-CN"/>
              </w:rPr>
            </w:pPr>
            <w:r>
              <w:rPr>
                <w:rFonts w:hint="eastAsia"/>
                <w:lang w:val="en-US" w:eastAsia="zh-CN"/>
              </w:rPr>
              <w:t>1</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较大</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一般</w:t>
            </w:r>
          </w:p>
        </w:tc>
        <w:tc>
          <w:tcPr>
            <w:tcW w:w="1300" w:type="dxa"/>
            <w:shd w:val="clear" w:color="auto" w:fill="auto"/>
            <w:vAlign w:val="center"/>
          </w:tcPr>
          <w:p>
            <w:pPr>
              <w:pStyle w:val="15"/>
              <w:spacing w:before="31" w:after="31"/>
              <w:rPr>
                <w:rFonts w:hint="eastAsia" w:eastAsia="宋体"/>
                <w:lang w:eastAsia="zh-CN"/>
              </w:rPr>
            </w:pPr>
            <w:r>
              <w:rPr>
                <w:rFonts w:hint="eastAsia"/>
                <w:lang w:val="en-US" w:eastAsia="zh-CN"/>
              </w:rPr>
              <w:t>6</w:t>
            </w:r>
          </w:p>
        </w:tc>
        <w:tc>
          <w:tcPr>
            <w:tcW w:w="1080" w:type="dxa"/>
            <w:shd w:val="clear" w:color="auto" w:fill="auto"/>
            <w:vAlign w:val="center"/>
          </w:tcPr>
          <w:p>
            <w:pPr>
              <w:pStyle w:val="15"/>
              <w:spacing w:before="31" w:after="31"/>
              <w:rPr>
                <w:szCs w:val="24"/>
              </w:rPr>
            </w:pPr>
            <w:r>
              <w:rPr>
                <w:rFonts w:hint="eastAsia"/>
                <w:szCs w:val="24"/>
                <w:lang w:val="en-US" w:eastAsia="zh-CN"/>
              </w:rPr>
              <w:t>12</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较小</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21</w:t>
            </w:r>
          </w:p>
        </w:tc>
        <w:tc>
          <w:tcPr>
            <w:tcW w:w="1080" w:type="dxa"/>
            <w:shd w:val="clear" w:color="auto" w:fill="auto"/>
            <w:vAlign w:val="center"/>
          </w:tcPr>
          <w:p>
            <w:pPr>
              <w:pStyle w:val="15"/>
              <w:spacing w:before="31" w:after="31"/>
              <w:rPr>
                <w:szCs w:val="24"/>
              </w:rPr>
            </w:pPr>
            <w:r>
              <w:rPr>
                <w:rFonts w:hint="eastAsia"/>
                <w:szCs w:val="24"/>
                <w:lang w:val="en-US" w:eastAsia="zh-CN"/>
              </w:rPr>
              <w:t>42</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不清楚</w:t>
            </w:r>
          </w:p>
        </w:tc>
        <w:tc>
          <w:tcPr>
            <w:tcW w:w="1300" w:type="dxa"/>
            <w:shd w:val="clear" w:color="auto" w:fill="auto"/>
            <w:vAlign w:val="top"/>
          </w:tcPr>
          <w:p>
            <w:pPr>
              <w:pStyle w:val="15"/>
              <w:spacing w:before="31" w:after="31"/>
              <w:rPr>
                <w:rFonts w:hint="eastAsia" w:eastAsia="宋体"/>
                <w:lang w:val="en-US" w:eastAsia="zh-CN"/>
              </w:rPr>
            </w:pPr>
            <w:r>
              <w:rPr>
                <w:rFonts w:hint="eastAsia"/>
                <w:lang w:val="en-US" w:eastAsia="zh-CN"/>
              </w:rPr>
              <w:t>22</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44%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5</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您认为本项目施工期对项目周边环境最突出的影响表现在哪一方面？</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废水</w:t>
            </w:r>
          </w:p>
        </w:tc>
        <w:tc>
          <w:tcPr>
            <w:tcW w:w="1300" w:type="dxa"/>
            <w:shd w:val="clear" w:color="auto" w:fill="auto"/>
            <w:vAlign w:val="center"/>
          </w:tcPr>
          <w:p>
            <w:pPr>
              <w:pStyle w:val="15"/>
              <w:spacing w:before="31" w:after="31"/>
              <w:rPr>
                <w:rFonts w:hint="eastAsia" w:eastAsia="宋体"/>
                <w:lang w:eastAsia="zh-CN"/>
              </w:rPr>
            </w:pPr>
            <w:r>
              <w:rPr>
                <w:rFonts w:hint="eastAsia"/>
                <w:lang w:val="en-US" w:eastAsia="zh-CN"/>
              </w:rPr>
              <w:t>8</w:t>
            </w:r>
          </w:p>
        </w:tc>
        <w:tc>
          <w:tcPr>
            <w:tcW w:w="1080" w:type="dxa"/>
            <w:shd w:val="clear" w:color="auto" w:fill="auto"/>
            <w:vAlign w:val="center"/>
          </w:tcPr>
          <w:p>
            <w:pPr>
              <w:pStyle w:val="15"/>
              <w:spacing w:before="31" w:after="31"/>
              <w:rPr>
                <w:szCs w:val="24"/>
              </w:rPr>
            </w:pPr>
            <w:r>
              <w:rPr>
                <w:szCs w:val="24"/>
              </w:rPr>
              <w:t>1</w:t>
            </w:r>
            <w:r>
              <w:rPr>
                <w:rFonts w:hint="eastAsia"/>
                <w:szCs w:val="24"/>
                <w:lang w:val="en-US" w:eastAsia="zh-CN"/>
              </w:rPr>
              <w:t>6</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废气</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w:t>
            </w:r>
          </w:p>
        </w:tc>
        <w:tc>
          <w:tcPr>
            <w:tcW w:w="1080" w:type="dxa"/>
            <w:shd w:val="clear" w:color="auto" w:fill="auto"/>
            <w:vAlign w:val="center"/>
          </w:tcPr>
          <w:p>
            <w:pPr>
              <w:pStyle w:val="15"/>
              <w:spacing w:before="31" w:after="31"/>
              <w:rPr>
                <w:rFonts w:hint="eastAsia" w:eastAsia="宋体"/>
                <w:szCs w:val="24"/>
                <w:lang w:eastAsia="zh-CN"/>
              </w:rPr>
            </w:pPr>
            <w:r>
              <w:rPr>
                <w:rFonts w:hint="eastAsia"/>
                <w:szCs w:val="24"/>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噪声</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11</w:t>
            </w:r>
          </w:p>
        </w:tc>
        <w:tc>
          <w:tcPr>
            <w:tcW w:w="1080" w:type="dxa"/>
            <w:shd w:val="clear" w:color="auto" w:fill="auto"/>
            <w:vAlign w:val="center"/>
          </w:tcPr>
          <w:p>
            <w:pPr>
              <w:pStyle w:val="15"/>
              <w:spacing w:before="31" w:after="31"/>
              <w:rPr>
                <w:szCs w:val="24"/>
              </w:rPr>
            </w:pPr>
            <w:r>
              <w:rPr>
                <w:rFonts w:hint="eastAsia"/>
                <w:szCs w:val="24"/>
                <w:lang w:val="en-US" w:eastAsia="zh-CN"/>
              </w:rPr>
              <w:t>22</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固废</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20</w:t>
            </w:r>
          </w:p>
        </w:tc>
        <w:tc>
          <w:tcPr>
            <w:tcW w:w="1080" w:type="dxa"/>
            <w:shd w:val="clear" w:color="auto" w:fill="auto"/>
            <w:vAlign w:val="center"/>
          </w:tcPr>
          <w:p>
            <w:pPr>
              <w:pStyle w:val="15"/>
              <w:spacing w:before="31" w:after="31"/>
              <w:rPr>
                <w:szCs w:val="24"/>
              </w:rPr>
            </w:pPr>
            <w:r>
              <w:rPr>
                <w:rFonts w:hint="eastAsia"/>
                <w:szCs w:val="24"/>
                <w:lang w:val="en-US" w:eastAsia="zh-CN"/>
              </w:rPr>
              <w:t>40</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生态破坏</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11</w:t>
            </w:r>
          </w:p>
        </w:tc>
        <w:tc>
          <w:tcPr>
            <w:tcW w:w="1080" w:type="dxa"/>
            <w:shd w:val="clear" w:color="auto" w:fill="auto"/>
            <w:vAlign w:val="center"/>
          </w:tcPr>
          <w:p>
            <w:pPr>
              <w:pStyle w:val="15"/>
              <w:spacing w:before="31" w:after="31"/>
              <w:rPr>
                <w:szCs w:val="24"/>
              </w:rPr>
            </w:pPr>
            <w:r>
              <w:rPr>
                <w:rFonts w:hint="eastAsia"/>
                <w:szCs w:val="24"/>
                <w:lang w:val="en-US" w:eastAsia="zh-CN"/>
              </w:rPr>
              <w:t>22</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6</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您认为本项目营运期对项目周边环境最突出的影响表现在哪一方面？</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废水</w:t>
            </w:r>
          </w:p>
        </w:tc>
        <w:tc>
          <w:tcPr>
            <w:tcW w:w="1300" w:type="dxa"/>
            <w:shd w:val="clear" w:color="auto" w:fill="auto"/>
            <w:vAlign w:val="top"/>
          </w:tcPr>
          <w:p>
            <w:pPr>
              <w:pStyle w:val="15"/>
              <w:spacing w:before="31" w:after="31"/>
              <w:ind w:firstLine="0" w:firstLineChars="0"/>
            </w:pPr>
            <w:r>
              <w:rPr>
                <w:rFonts w:hint="eastAsia"/>
                <w:lang w:val="en-US" w:eastAsia="zh-CN"/>
              </w:rPr>
              <w:t>8</w:t>
            </w:r>
          </w:p>
        </w:tc>
        <w:tc>
          <w:tcPr>
            <w:tcW w:w="1080" w:type="dxa"/>
            <w:shd w:val="clear" w:color="auto" w:fill="auto"/>
            <w:vAlign w:val="top"/>
          </w:tcPr>
          <w:p>
            <w:pPr>
              <w:pStyle w:val="15"/>
              <w:spacing w:before="31" w:after="31"/>
              <w:ind w:firstLine="0" w:firstLineChars="0"/>
            </w:pPr>
            <w:r>
              <w:rPr>
                <w:rFonts w:hint="eastAsia"/>
                <w:lang w:val="en-US" w:eastAsia="zh-CN"/>
              </w:rPr>
              <w:t>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废气</w:t>
            </w:r>
          </w:p>
        </w:tc>
        <w:tc>
          <w:tcPr>
            <w:tcW w:w="1300" w:type="dxa"/>
            <w:shd w:val="clear" w:color="auto" w:fill="auto"/>
            <w:vAlign w:val="top"/>
          </w:tcPr>
          <w:p>
            <w:pPr>
              <w:pStyle w:val="15"/>
              <w:spacing w:before="31" w:after="31"/>
              <w:ind w:firstLine="0" w:firstLineChars="0"/>
            </w:pPr>
            <w:r>
              <w:rPr>
                <w:rFonts w:hint="eastAsia"/>
              </w:rPr>
              <w:t>/</w:t>
            </w:r>
          </w:p>
        </w:tc>
        <w:tc>
          <w:tcPr>
            <w:tcW w:w="1080" w:type="dxa"/>
            <w:shd w:val="clear" w:color="auto" w:fill="auto"/>
            <w:vAlign w:val="top"/>
          </w:tcPr>
          <w:p>
            <w:pPr>
              <w:pStyle w:val="15"/>
              <w:spacing w:before="31" w:after="31"/>
              <w:ind w:firstLine="0" w:firstLineChars="0"/>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噪声</w:t>
            </w:r>
          </w:p>
        </w:tc>
        <w:tc>
          <w:tcPr>
            <w:tcW w:w="1300" w:type="dxa"/>
            <w:shd w:val="clear" w:color="auto" w:fill="auto"/>
            <w:vAlign w:val="center"/>
          </w:tcPr>
          <w:p>
            <w:pPr>
              <w:pStyle w:val="15"/>
              <w:spacing w:before="31" w:after="31"/>
              <w:ind w:firstLine="0" w:firstLineChars="0"/>
              <w:rPr>
                <w:rFonts w:hint="eastAsia"/>
              </w:rPr>
            </w:pPr>
            <w:r>
              <w:rPr>
                <w:rFonts w:hint="eastAsia"/>
                <w:lang w:val="en-US" w:eastAsia="zh-CN"/>
              </w:rPr>
              <w:t>6</w:t>
            </w:r>
          </w:p>
        </w:tc>
        <w:tc>
          <w:tcPr>
            <w:tcW w:w="1080" w:type="dxa"/>
            <w:shd w:val="clear" w:color="auto" w:fill="auto"/>
            <w:vAlign w:val="center"/>
          </w:tcPr>
          <w:p>
            <w:pPr>
              <w:pStyle w:val="15"/>
              <w:spacing w:before="31" w:after="31"/>
              <w:ind w:firstLine="0" w:firstLineChars="0"/>
              <w:rPr>
                <w:szCs w:val="24"/>
              </w:rPr>
            </w:pPr>
            <w:r>
              <w:rPr>
                <w:rFonts w:hint="eastAsia"/>
                <w:lang w:val="en-US" w:eastAsia="zh-CN"/>
              </w:rPr>
              <w:t>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固废</w:t>
            </w:r>
          </w:p>
        </w:tc>
        <w:tc>
          <w:tcPr>
            <w:tcW w:w="1300" w:type="dxa"/>
            <w:shd w:val="clear" w:color="auto" w:fill="auto"/>
            <w:vAlign w:val="center"/>
          </w:tcPr>
          <w:p>
            <w:pPr>
              <w:pStyle w:val="15"/>
              <w:spacing w:before="31" w:after="31"/>
              <w:ind w:firstLine="0" w:firstLineChars="0"/>
            </w:pPr>
            <w:r>
              <w:rPr>
                <w:rFonts w:hint="eastAsia"/>
                <w:lang w:val="en-US" w:eastAsia="zh-CN"/>
              </w:rPr>
              <w:t>19</w:t>
            </w:r>
          </w:p>
        </w:tc>
        <w:tc>
          <w:tcPr>
            <w:tcW w:w="1080" w:type="dxa"/>
            <w:shd w:val="clear" w:color="auto" w:fill="auto"/>
            <w:vAlign w:val="center"/>
          </w:tcPr>
          <w:p>
            <w:pPr>
              <w:pStyle w:val="15"/>
              <w:spacing w:before="31" w:after="31"/>
              <w:ind w:firstLine="0" w:firstLineChars="0"/>
            </w:pPr>
            <w:r>
              <w:rPr>
                <w:rFonts w:hint="eastAsia"/>
                <w:szCs w:val="24"/>
                <w:lang w:val="en-US" w:eastAsia="zh-CN"/>
              </w:rPr>
              <w:t>38</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生态破坏</w:t>
            </w:r>
          </w:p>
        </w:tc>
        <w:tc>
          <w:tcPr>
            <w:tcW w:w="1300" w:type="dxa"/>
            <w:shd w:val="clear" w:color="auto" w:fill="auto"/>
            <w:vAlign w:val="top"/>
          </w:tcPr>
          <w:p>
            <w:pPr>
              <w:pStyle w:val="15"/>
              <w:spacing w:before="31" w:after="31"/>
              <w:ind w:firstLine="0" w:firstLineChars="0"/>
            </w:pPr>
            <w:r>
              <w:rPr>
                <w:rFonts w:hint="eastAsia"/>
                <w:lang w:val="en-US" w:eastAsia="zh-CN"/>
              </w:rPr>
              <w:t>17</w:t>
            </w:r>
          </w:p>
        </w:tc>
        <w:tc>
          <w:tcPr>
            <w:tcW w:w="1080" w:type="dxa"/>
            <w:shd w:val="clear" w:color="auto" w:fill="auto"/>
            <w:vAlign w:val="top"/>
          </w:tcPr>
          <w:p>
            <w:pPr>
              <w:pStyle w:val="15"/>
              <w:spacing w:before="31" w:after="31"/>
              <w:ind w:firstLine="0" w:firstLineChars="0"/>
            </w:pPr>
            <w:r>
              <w:rPr>
                <w:rFonts w:hint="eastAsia"/>
                <w:lang w:val="en-US" w:eastAsia="zh-CN"/>
              </w:rPr>
              <w:t>34%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7</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从环保角度出发，您认为本项目的建设实施还需从哪方面加强环保设施?</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废水</w:t>
            </w:r>
          </w:p>
        </w:tc>
        <w:tc>
          <w:tcPr>
            <w:tcW w:w="1300" w:type="dxa"/>
            <w:shd w:val="clear" w:color="auto" w:fill="auto"/>
            <w:vAlign w:val="top"/>
          </w:tcPr>
          <w:p>
            <w:pPr>
              <w:pStyle w:val="15"/>
              <w:spacing w:before="31" w:after="31"/>
              <w:rPr>
                <w:rFonts w:hint="eastAsia" w:eastAsia="宋体"/>
                <w:lang w:val="en-US" w:eastAsia="zh-CN"/>
              </w:rPr>
            </w:pPr>
            <w:r>
              <w:rPr>
                <w:rFonts w:hint="eastAsia"/>
                <w:lang w:val="en-US" w:eastAsia="zh-CN"/>
              </w:rPr>
              <w:t>8</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废气</w:t>
            </w:r>
          </w:p>
        </w:tc>
        <w:tc>
          <w:tcPr>
            <w:tcW w:w="1300" w:type="dxa"/>
            <w:shd w:val="clear" w:color="auto" w:fill="auto"/>
            <w:vAlign w:val="top"/>
          </w:tcPr>
          <w:p>
            <w:pPr>
              <w:pStyle w:val="15"/>
              <w:spacing w:before="31" w:after="31"/>
              <w:rPr>
                <w:rFonts w:hint="eastAsia" w:eastAsia="宋体"/>
                <w:lang w:val="en-US" w:eastAsia="zh-CN"/>
              </w:rPr>
            </w:pPr>
            <w:r>
              <w:rPr>
                <w:rFonts w:hint="eastAsia"/>
                <w:lang w:val="en-US" w:eastAsia="zh-CN"/>
              </w:rPr>
              <w:t>/</w:t>
            </w:r>
          </w:p>
        </w:tc>
        <w:tc>
          <w:tcPr>
            <w:tcW w:w="1080" w:type="dxa"/>
            <w:shd w:val="clear" w:color="auto" w:fill="auto"/>
            <w:vAlign w:val="top"/>
          </w:tcPr>
          <w:p>
            <w:pPr>
              <w:pStyle w:val="15"/>
              <w:spacing w:before="31" w:after="31"/>
              <w:rPr>
                <w:rFonts w:hint="eastAsia" w:eastAsia="宋体"/>
                <w:lang w:eastAsia="zh-CN"/>
              </w:rPr>
            </w:pPr>
            <w:r>
              <w:rPr>
                <w:rFonts w:hint="eastAsia"/>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噪声</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14</w:t>
            </w:r>
          </w:p>
        </w:tc>
        <w:tc>
          <w:tcPr>
            <w:tcW w:w="1080" w:type="dxa"/>
            <w:shd w:val="clear" w:color="auto" w:fill="auto"/>
            <w:vAlign w:val="center"/>
          </w:tcPr>
          <w:p>
            <w:pPr>
              <w:pStyle w:val="15"/>
              <w:spacing w:before="31" w:after="31"/>
              <w:rPr>
                <w:rFonts w:hint="eastAsia" w:eastAsia="宋体"/>
                <w:lang w:val="en-US" w:eastAsia="zh-CN"/>
              </w:rPr>
            </w:pPr>
            <w:r>
              <w:rPr>
                <w:rFonts w:hint="eastAsia"/>
                <w:lang w:val="en-US" w:eastAsia="zh-CN"/>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固废</w:t>
            </w:r>
          </w:p>
        </w:tc>
        <w:tc>
          <w:tcPr>
            <w:tcW w:w="1300" w:type="dxa"/>
            <w:shd w:val="clear" w:color="auto" w:fill="auto"/>
            <w:vAlign w:val="center"/>
          </w:tcPr>
          <w:p>
            <w:pPr>
              <w:pStyle w:val="15"/>
              <w:spacing w:before="31" w:after="31"/>
              <w:rPr>
                <w:rFonts w:hint="eastAsia" w:eastAsia="宋体"/>
                <w:lang w:val="en-US" w:eastAsia="zh-CN"/>
              </w:rPr>
            </w:pPr>
            <w:r>
              <w:rPr>
                <w:rFonts w:hint="eastAsia"/>
                <w:lang w:val="en-US" w:eastAsia="zh-CN"/>
              </w:rPr>
              <w:t>21</w:t>
            </w:r>
          </w:p>
        </w:tc>
        <w:tc>
          <w:tcPr>
            <w:tcW w:w="1080" w:type="dxa"/>
            <w:shd w:val="clear" w:color="auto" w:fill="auto"/>
            <w:vAlign w:val="center"/>
          </w:tcPr>
          <w:p>
            <w:pPr>
              <w:pStyle w:val="15"/>
              <w:spacing w:before="31" w:after="31"/>
              <w:rPr>
                <w:rFonts w:hint="eastAsia" w:eastAsia="宋体"/>
                <w:szCs w:val="24"/>
                <w:lang w:val="en-US" w:eastAsia="zh-CN"/>
              </w:rPr>
            </w:pPr>
            <w:r>
              <w:rPr>
                <w:rFonts w:hint="eastAsia"/>
                <w:szCs w:val="24"/>
                <w:lang w:val="en-US" w:eastAsia="zh-CN"/>
              </w:rPr>
              <w:t>42%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生态破坏</w:t>
            </w:r>
          </w:p>
        </w:tc>
        <w:tc>
          <w:tcPr>
            <w:tcW w:w="1300" w:type="dxa"/>
            <w:shd w:val="clear" w:color="auto" w:fill="auto"/>
            <w:vAlign w:val="top"/>
          </w:tcPr>
          <w:p>
            <w:pPr>
              <w:pStyle w:val="15"/>
              <w:spacing w:before="31" w:after="31"/>
              <w:rPr>
                <w:rFonts w:hint="eastAsia" w:eastAsia="宋体"/>
                <w:lang w:val="en-US" w:eastAsia="zh-CN"/>
              </w:rPr>
            </w:pPr>
            <w:r>
              <w:rPr>
                <w:rFonts w:hint="eastAsia"/>
                <w:lang w:val="en-US" w:eastAsia="zh-CN"/>
              </w:rPr>
              <w:t>7</w:t>
            </w:r>
          </w:p>
        </w:tc>
        <w:tc>
          <w:tcPr>
            <w:tcW w:w="1080" w:type="dxa"/>
            <w:shd w:val="clear" w:color="auto" w:fill="auto"/>
            <w:vAlign w:val="top"/>
          </w:tcPr>
          <w:p>
            <w:pPr>
              <w:pStyle w:val="15"/>
              <w:spacing w:before="31" w:after="31"/>
              <w:rPr>
                <w:rFonts w:hint="eastAsia" w:eastAsia="宋体"/>
                <w:lang w:val="en-US" w:eastAsia="zh-CN"/>
              </w:rPr>
            </w:pPr>
            <w:r>
              <w:rPr>
                <w:rFonts w:hint="eastAsia"/>
                <w:lang w:val="en-US" w:eastAsia="zh-CN"/>
              </w:rPr>
              <w:t>14%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restart"/>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r>
              <w:rPr>
                <w:color w:val="000000"/>
                <w:kern w:val="0"/>
                <w:sz w:val="21"/>
                <w:szCs w:val="21"/>
              </w:rPr>
              <w:t>8</w:t>
            </w:r>
          </w:p>
        </w:tc>
        <w:tc>
          <w:tcPr>
            <w:tcW w:w="3864" w:type="dxa"/>
            <w:vMerge w:val="restart"/>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从环保角度出发，您对该项目持何种态度，简要说明原因?</w:t>
            </w: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坚决支持</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有条件赞成</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r>
              <w:rPr>
                <w:rFonts w:hint="eastAsia" w:ascii="宋体" w:hAnsi="宋体" w:cs="宋体"/>
                <w:color w:val="000000"/>
                <w:kern w:val="0"/>
                <w:sz w:val="21"/>
                <w:szCs w:val="21"/>
              </w:rPr>
              <w:t>无所谓</w:t>
            </w:r>
          </w:p>
        </w:tc>
        <w:tc>
          <w:tcPr>
            <w:tcW w:w="1300" w:type="dxa"/>
            <w:shd w:val="clear" w:color="auto" w:fill="auto"/>
            <w:vAlign w:val="center"/>
          </w:tcPr>
          <w:p>
            <w:pPr>
              <w:pStyle w:val="15"/>
              <w:spacing w:before="31" w:after="31"/>
              <w:rPr>
                <w:rFonts w:hint="eastAsia" w:eastAsia="宋体"/>
                <w:sz w:val="22"/>
                <w:lang w:val="en-US" w:eastAsia="zh-CN"/>
              </w:rPr>
            </w:pPr>
            <w:r>
              <w:rPr>
                <w:rFonts w:hint="eastAsia"/>
                <w:sz w:val="22"/>
                <w:lang w:val="en-US" w:eastAsia="zh-CN"/>
              </w:rPr>
              <w:t>50</w:t>
            </w:r>
          </w:p>
        </w:tc>
        <w:tc>
          <w:tcPr>
            <w:tcW w:w="1080" w:type="dxa"/>
            <w:shd w:val="clear" w:color="auto" w:fill="auto"/>
            <w:vAlign w:val="center"/>
          </w:tcPr>
          <w:p>
            <w:pPr>
              <w:pStyle w:val="15"/>
              <w:spacing w:before="31" w:after="31"/>
              <w:rPr>
                <w:rFonts w:hint="eastAsia"/>
                <w:sz w:val="22"/>
              </w:rPr>
            </w:pPr>
            <w:r>
              <w:rPr>
                <w:rFonts w:hint="eastAsia"/>
                <w:sz w:val="22"/>
              </w:rPr>
              <w:t>100</w:t>
            </w:r>
            <w: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jc w:val="center"/>
        </w:trPr>
        <w:tc>
          <w:tcPr>
            <w:tcW w:w="780" w:type="dxa"/>
            <w:vMerge w:val="continue"/>
            <w:shd w:val="clear" w:color="auto" w:fill="auto"/>
            <w:vAlign w:val="center"/>
          </w:tcPr>
          <w:p>
            <w:pPr>
              <w:widowControl/>
              <w:snapToGrid/>
              <w:spacing w:before="31" w:beforeLines="10" w:after="31" w:afterLines="10" w:line="240" w:lineRule="auto"/>
              <w:ind w:firstLine="0" w:firstLineChars="0"/>
              <w:jc w:val="center"/>
              <w:rPr>
                <w:color w:val="000000"/>
                <w:kern w:val="0"/>
                <w:sz w:val="21"/>
                <w:szCs w:val="21"/>
              </w:rPr>
            </w:pPr>
          </w:p>
        </w:tc>
        <w:tc>
          <w:tcPr>
            <w:tcW w:w="3864" w:type="dxa"/>
            <w:vMerge w:val="continue"/>
            <w:shd w:val="clear" w:color="auto" w:fill="auto"/>
            <w:vAlign w:val="center"/>
          </w:tcPr>
          <w:p>
            <w:pPr>
              <w:widowControl/>
              <w:snapToGrid/>
              <w:spacing w:before="31" w:beforeLines="10" w:after="31" w:afterLines="10" w:line="240" w:lineRule="auto"/>
              <w:ind w:firstLine="0" w:firstLineChars="0"/>
              <w:jc w:val="center"/>
              <w:rPr>
                <w:rFonts w:ascii="宋体" w:hAnsi="宋体" w:cs="宋体"/>
                <w:color w:val="000000"/>
                <w:kern w:val="0"/>
                <w:sz w:val="21"/>
                <w:szCs w:val="21"/>
              </w:rPr>
            </w:pPr>
          </w:p>
        </w:tc>
        <w:tc>
          <w:tcPr>
            <w:tcW w:w="1276" w:type="dxa"/>
            <w:shd w:val="clear" w:color="auto" w:fill="auto"/>
            <w:vAlign w:val="center"/>
          </w:tcPr>
          <w:p>
            <w:pPr>
              <w:widowControl/>
              <w:snapToGrid/>
              <w:spacing w:before="31" w:beforeLines="10" w:after="31" w:afterLines="10" w:line="240" w:lineRule="auto"/>
              <w:ind w:firstLine="0" w:firstLineChars="0"/>
              <w:jc w:val="center"/>
              <w:rPr>
                <w:rFonts w:hint="eastAsia" w:ascii="宋体" w:hAnsi="宋体" w:cs="宋体"/>
                <w:color w:val="000000"/>
                <w:kern w:val="0"/>
                <w:sz w:val="21"/>
                <w:szCs w:val="21"/>
              </w:rPr>
            </w:pPr>
            <w:r>
              <w:rPr>
                <w:rFonts w:hint="eastAsia" w:ascii="宋体" w:hAnsi="宋体" w:cs="宋体"/>
                <w:color w:val="000000"/>
                <w:kern w:val="0"/>
                <w:sz w:val="21"/>
                <w:szCs w:val="21"/>
              </w:rPr>
              <w:t>反对</w:t>
            </w:r>
          </w:p>
        </w:tc>
        <w:tc>
          <w:tcPr>
            <w:tcW w:w="1300" w:type="dxa"/>
            <w:shd w:val="clear" w:color="auto" w:fill="auto"/>
            <w:vAlign w:val="top"/>
          </w:tcPr>
          <w:p>
            <w:pPr>
              <w:pStyle w:val="15"/>
              <w:spacing w:before="31" w:after="31"/>
            </w:pPr>
            <w:r>
              <w:rPr>
                <w:rFonts w:hint="eastAsia"/>
              </w:rPr>
              <w:t>/</w:t>
            </w:r>
          </w:p>
        </w:tc>
        <w:tc>
          <w:tcPr>
            <w:tcW w:w="1080" w:type="dxa"/>
            <w:shd w:val="clear" w:color="auto" w:fill="auto"/>
            <w:vAlign w:val="top"/>
          </w:tcPr>
          <w:p>
            <w:pPr>
              <w:pStyle w:val="15"/>
              <w:spacing w:before="31" w:after="31"/>
            </w:pPr>
            <w:r>
              <w:rPr>
                <w:rFonts w:hint="eastAsia"/>
              </w:rPr>
              <w:t>/</w:t>
            </w:r>
          </w:p>
        </w:tc>
      </w:tr>
    </w:tbl>
    <w:p>
      <w:pPr>
        <w:ind w:firstLine="480"/>
      </w:pPr>
      <w:r>
        <w:rPr>
          <w:rFonts w:hint="eastAsia"/>
        </w:rPr>
        <w:t>由上表可知：本次公众参与调查的绝大多</w:t>
      </w:r>
      <w:r>
        <w:t>数</w:t>
      </w:r>
      <w:r>
        <w:rPr>
          <w:rFonts w:hint="eastAsia"/>
        </w:rPr>
        <w:t>对象对本工程有一定程度的了解，均持积极的态度，支持率为</w:t>
      </w:r>
      <w:r>
        <w:t>100%</w:t>
      </w:r>
      <w:r>
        <w:rPr>
          <w:rFonts w:hint="eastAsia"/>
        </w:rPr>
        <w:t>，无人持反对态度。</w:t>
      </w:r>
    </w:p>
    <w:p>
      <w:pPr>
        <w:pStyle w:val="5"/>
        <w:numPr>
          <w:numId w:val="0"/>
        </w:numPr>
        <w:ind w:leftChars="0"/>
      </w:pPr>
      <w:bookmarkStart w:id="30" w:name="_Toc514158394"/>
      <w:bookmarkStart w:id="31" w:name="_Toc511031495"/>
      <w:bookmarkStart w:id="32" w:name="_Toc470699953"/>
      <w:bookmarkStart w:id="33" w:name="_Toc465244978"/>
      <w:r>
        <w:rPr>
          <w:rFonts w:hint="eastAsia"/>
          <w:lang w:val="en-US" w:eastAsia="zh-CN"/>
        </w:rPr>
        <w:t xml:space="preserve">6.3 </w:t>
      </w:r>
      <w:r>
        <w:rPr>
          <w:rFonts w:hint="eastAsia"/>
        </w:rPr>
        <w:t>反馈意见采纳与不采纳的说明</w:t>
      </w:r>
      <w:bookmarkEnd w:id="30"/>
      <w:bookmarkEnd w:id="31"/>
      <w:bookmarkEnd w:id="32"/>
      <w:bookmarkEnd w:id="33"/>
    </w:p>
    <w:p>
      <w:pPr>
        <w:ind w:firstLine="480"/>
      </w:pPr>
      <w:r>
        <w:rPr>
          <w:rFonts w:hint="eastAsia"/>
        </w:rPr>
        <w:t>本项目公众参与调查工作，在项目所在地公众的积极配合下，调查工作进展顺利，公众对项目的建设也表示出了较高的关注度。调查结果显示，本项目已得到当地绝大多数公众的赞成与支持，被调查对象中没有人表示反对意见。</w:t>
      </w:r>
    </w:p>
    <w:p/>
    <w:sectPr>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jc w:val="center"/>
    </w:pPr>
  </w:p>
  <w:p>
    <w:pPr>
      <w:pStyle w:val="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jc w:val="center"/>
      <w:rPr>
        <w:rFonts w:hint="eastAsia"/>
      </w:rPr>
    </w:pPr>
    <w:r>
      <w:fldChar w:fldCharType="begin"/>
    </w:r>
    <w:r>
      <w:instrText xml:space="preserve">PAGE   \* MERGEFORMAT</w:instrText>
    </w:r>
    <w:r>
      <w:fldChar w:fldCharType="separate"/>
    </w:r>
    <w:r>
      <w:rPr>
        <w:lang w:val="zh-CN"/>
      </w:rPr>
      <w:t>6</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48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050337"/>
    <w:multiLevelType w:val="multilevel"/>
    <w:tmpl w:val="0B050337"/>
    <w:lvl w:ilvl="0" w:tentative="0">
      <w:start w:val="1"/>
      <w:numFmt w:val="decimal"/>
      <w:pStyle w:val="4"/>
      <w:lvlText w:val="%1"/>
      <w:lvlJc w:val="left"/>
      <w:pPr>
        <w:ind w:left="425" w:hanging="425"/>
      </w:pPr>
      <w:rPr>
        <w:rFonts w:hint="eastAsia"/>
      </w:rPr>
    </w:lvl>
    <w:lvl w:ilvl="1" w:tentative="0">
      <w:start w:val="1"/>
      <w:numFmt w:val="decimal"/>
      <w:pStyle w:val="5"/>
      <w:lvlText w:val="%1.%2"/>
      <w:lvlJc w:val="left"/>
      <w:pPr>
        <w:ind w:left="425" w:hanging="425"/>
      </w:pPr>
      <w:rPr>
        <w:rFonts w:hint="eastAsia"/>
      </w:rPr>
    </w:lvl>
    <w:lvl w:ilvl="2" w:tentative="0">
      <w:start w:val="1"/>
      <w:numFmt w:val="decimal"/>
      <w:lvlText w:val="%1.%2.%3"/>
      <w:lvlJc w:val="left"/>
      <w:pPr>
        <w:ind w:left="425" w:hanging="425"/>
      </w:pPr>
      <w:rPr>
        <w:rFonts w:hint="eastAsia"/>
      </w:rPr>
    </w:lvl>
    <w:lvl w:ilvl="3" w:tentative="0">
      <w:start w:val="1"/>
      <w:numFmt w:val="decimal"/>
      <w:lvlText w:val="%1.%2.%3.%4"/>
      <w:lvlJc w:val="left"/>
      <w:pPr>
        <w:ind w:left="425" w:hanging="425"/>
      </w:pPr>
      <w:rPr>
        <w:rFonts w:hint="eastAsia"/>
      </w:rPr>
    </w:lvl>
    <w:lvl w:ilvl="4" w:tentative="0">
      <w:start w:val="1"/>
      <w:numFmt w:val="decimal"/>
      <w:lvlText w:val="%1.%2.%3.%4.%5"/>
      <w:lvlJc w:val="left"/>
      <w:pPr>
        <w:ind w:left="6379" w:hanging="850"/>
      </w:pPr>
      <w:rPr>
        <w:rFonts w:hint="eastAsia"/>
      </w:rPr>
    </w:lvl>
    <w:lvl w:ilvl="5" w:tentative="0">
      <w:start w:val="1"/>
      <w:numFmt w:val="decimal"/>
      <w:lvlText w:val="%1.%2.%3.%4.%5.%6"/>
      <w:lvlJc w:val="left"/>
      <w:pPr>
        <w:ind w:left="7088" w:hanging="1134"/>
      </w:pPr>
      <w:rPr>
        <w:rFonts w:hint="eastAsia"/>
      </w:rPr>
    </w:lvl>
    <w:lvl w:ilvl="6" w:tentative="0">
      <w:start w:val="1"/>
      <w:numFmt w:val="decimal"/>
      <w:lvlText w:val="%1.%2.%3.%4.%5.%6.%7"/>
      <w:lvlJc w:val="left"/>
      <w:pPr>
        <w:ind w:left="7655" w:hanging="1276"/>
      </w:pPr>
      <w:rPr>
        <w:rFonts w:hint="eastAsia"/>
      </w:rPr>
    </w:lvl>
    <w:lvl w:ilvl="7" w:tentative="0">
      <w:start w:val="1"/>
      <w:numFmt w:val="decimal"/>
      <w:lvlText w:val="%1.%2.%3.%4.%5.%6.%7.%8"/>
      <w:lvlJc w:val="left"/>
      <w:pPr>
        <w:ind w:left="8222" w:hanging="1418"/>
      </w:pPr>
      <w:rPr>
        <w:rFonts w:hint="eastAsia"/>
      </w:rPr>
    </w:lvl>
    <w:lvl w:ilvl="8" w:tentative="0">
      <w:start w:val="1"/>
      <w:numFmt w:val="decimal"/>
      <w:lvlText w:val="%1.%2.%3.%4.%5.%6.%7.%8.%9"/>
      <w:lvlJc w:val="left"/>
      <w:pPr>
        <w:ind w:left="8930"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37616F"/>
    <w:rsid w:val="063A5300"/>
    <w:rsid w:val="1ECD1D82"/>
    <w:rsid w:val="2A5A70D6"/>
    <w:rsid w:val="33FA1514"/>
    <w:rsid w:val="3C7443B1"/>
    <w:rsid w:val="4A87743B"/>
    <w:rsid w:val="4ADB1838"/>
    <w:rsid w:val="57DD6A7B"/>
    <w:rsid w:val="614A2E52"/>
    <w:rsid w:val="6A37616F"/>
    <w:rsid w:val="6D535020"/>
    <w:rsid w:val="7AE465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iPriority="99"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napToGrid w:val="0"/>
      <w:spacing w:line="500" w:lineRule="exact"/>
      <w:ind w:firstLine="200" w:firstLineChars="200"/>
      <w:jc w:val="both"/>
    </w:pPr>
    <w:rPr>
      <w:rFonts w:ascii="Times New Roman" w:hAnsi="Times New Roman" w:eastAsia="宋体" w:cs="Times New Roman"/>
      <w:kern w:val="2"/>
      <w:sz w:val="24"/>
      <w:szCs w:val="22"/>
      <w:lang w:val="en-US" w:eastAsia="zh-CN" w:bidi="ar-SA"/>
    </w:rPr>
  </w:style>
  <w:style w:type="paragraph" w:styleId="4">
    <w:name w:val="heading 1"/>
    <w:basedOn w:val="1"/>
    <w:next w:val="1"/>
    <w:qFormat/>
    <w:uiPriority w:val="0"/>
    <w:pPr>
      <w:keepNext/>
      <w:keepLines/>
      <w:numPr>
        <w:ilvl w:val="0"/>
        <w:numId w:val="1"/>
      </w:numPr>
      <w:spacing w:before="320" w:after="240" w:line="576" w:lineRule="auto"/>
      <w:ind w:firstLine="0" w:firstLineChars="0"/>
      <w:jc w:val="center"/>
      <w:outlineLvl w:val="0"/>
    </w:pPr>
    <w:rPr>
      <w:b/>
      <w:bCs/>
      <w:kern w:val="44"/>
      <w:sz w:val="32"/>
      <w:szCs w:val="44"/>
    </w:rPr>
  </w:style>
  <w:style w:type="paragraph" w:styleId="5">
    <w:name w:val="heading 2"/>
    <w:basedOn w:val="1"/>
    <w:next w:val="1"/>
    <w:unhideWhenUsed/>
    <w:qFormat/>
    <w:uiPriority w:val="0"/>
    <w:pPr>
      <w:keepNext/>
      <w:keepLines/>
      <w:numPr>
        <w:ilvl w:val="1"/>
        <w:numId w:val="1"/>
      </w:numPr>
      <w:spacing w:before="320" w:after="240" w:line="413" w:lineRule="auto"/>
      <w:ind w:left="425" w:hanging="425" w:firstLineChars="0"/>
      <w:outlineLvl w:val="1"/>
    </w:pPr>
    <w:rPr>
      <w:rFonts w:ascii="宋体" w:hAnsi="宋体" w:eastAsia="宋体" w:cs="宋体"/>
      <w:b/>
      <w:bCs/>
      <w:kern w:val="0"/>
      <w:sz w:val="28"/>
      <w:szCs w:val="32"/>
    </w:rPr>
  </w:style>
  <w:style w:type="character" w:default="1" w:styleId="11">
    <w:name w:val="Default Paragraph Font"/>
    <w:semiHidden/>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customStyle="1" w:styleId="2">
    <w:name w:val="表格文字"/>
    <w:basedOn w:val="3"/>
    <w:next w:val="1"/>
    <w:uiPriority w:val="0"/>
    <w:pPr>
      <w:tabs>
        <w:tab w:val="left" w:pos="851"/>
      </w:tabs>
      <w:adjustRightInd w:val="0"/>
      <w:spacing w:line="360" w:lineRule="atLeast"/>
      <w:jc w:val="center"/>
      <w:textAlignment w:val="baseline"/>
    </w:pPr>
    <w:rPr>
      <w:kern w:val="0"/>
      <w:sz w:val="21"/>
    </w:rPr>
  </w:style>
  <w:style w:type="paragraph" w:styleId="3">
    <w:name w:val="Plain Text"/>
    <w:basedOn w:val="1"/>
    <w:unhideWhenUsed/>
    <w:qFormat/>
    <w:uiPriority w:val="0"/>
    <w:pPr>
      <w:tabs>
        <w:tab w:val="left" w:pos="851"/>
      </w:tabs>
    </w:pPr>
    <w:rPr>
      <w:rFonts w:hint="eastAsia" w:ascii="宋体" w:hAnsi="Courier New"/>
      <w:sz w:val="21"/>
      <w:szCs w:val="21"/>
    </w:rPr>
  </w:style>
  <w:style w:type="paragraph" w:styleId="6">
    <w:name w:val="caption"/>
    <w:basedOn w:val="1"/>
    <w:next w:val="1"/>
    <w:unhideWhenUsed/>
    <w:qFormat/>
    <w:uiPriority w:val="0"/>
    <w:pPr>
      <w:keepNext/>
      <w:adjustRightInd w:val="0"/>
      <w:spacing w:before="120" w:beforeLines="50" w:line="240" w:lineRule="auto"/>
      <w:ind w:firstLine="422"/>
      <w:jc w:val="center"/>
    </w:pPr>
    <w:rPr>
      <w:rFonts w:ascii="Calibri Light" w:hAnsi="Calibri Light" w:eastAsia="黑体" w:cs="Times New Roman"/>
      <w:b/>
      <w:sz w:val="21"/>
      <w:szCs w:val="20"/>
    </w:rPr>
  </w:style>
  <w:style w:type="paragraph" w:styleId="7">
    <w:name w:val="footer"/>
    <w:basedOn w:val="1"/>
    <w:unhideWhenUsed/>
    <w:uiPriority w:val="99"/>
    <w:pPr>
      <w:tabs>
        <w:tab w:val="center" w:pos="4153"/>
        <w:tab w:val="right" w:pos="8306"/>
      </w:tabs>
      <w:snapToGrid w:val="0"/>
      <w:jc w:val="left"/>
    </w:pPr>
    <w:rPr>
      <w:sz w:val="18"/>
      <w:szCs w:val="18"/>
    </w:rPr>
  </w:style>
  <w:style w:type="paragraph" w:styleId="8">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oc 1"/>
    <w:basedOn w:val="1"/>
    <w:next w:val="1"/>
    <w:unhideWhenUsed/>
    <w:qFormat/>
    <w:uiPriority w:val="39"/>
    <w:pPr>
      <w:tabs>
        <w:tab w:val="left" w:pos="960"/>
        <w:tab w:val="right" w:leader="dot" w:pos="8296"/>
      </w:tabs>
      <w:spacing w:before="120" w:after="120"/>
      <w:ind w:firstLine="562"/>
      <w:jc w:val="center"/>
    </w:pPr>
    <w:rPr>
      <w:rFonts w:ascii="Calibri" w:hAnsi="Calibri" w:cs="Calibri"/>
      <w:b/>
      <w:bCs/>
      <w:caps/>
      <w:sz w:val="20"/>
      <w:szCs w:val="20"/>
    </w:rPr>
  </w:style>
  <w:style w:type="paragraph" w:styleId="10">
    <w:name w:val="toc 2"/>
    <w:basedOn w:val="1"/>
    <w:next w:val="1"/>
    <w:unhideWhenUsed/>
    <w:qFormat/>
    <w:uiPriority w:val="39"/>
    <w:pPr>
      <w:ind w:left="240"/>
      <w:jc w:val="left"/>
    </w:pPr>
    <w:rPr>
      <w:rFonts w:ascii="Calibri" w:hAnsi="Calibri" w:cs="Calibri"/>
      <w:smallCaps/>
      <w:sz w:val="20"/>
      <w:szCs w:val="20"/>
    </w:rPr>
  </w:style>
  <w:style w:type="character" w:styleId="12">
    <w:name w:val="Hyperlink"/>
    <w:unhideWhenUsed/>
    <w:qFormat/>
    <w:uiPriority w:val="99"/>
    <w:rPr>
      <w:color w:val="0563C1"/>
      <w:u w:val="single"/>
    </w:rPr>
  </w:style>
  <w:style w:type="paragraph" w:customStyle="1" w:styleId="14">
    <w:name w:val="_Style 4"/>
    <w:basedOn w:val="4"/>
    <w:next w:val="1"/>
    <w:unhideWhenUsed/>
    <w:qFormat/>
    <w:uiPriority w:val="39"/>
    <w:pPr>
      <w:widowControl/>
      <w:numPr>
        <w:ilvl w:val="0"/>
        <w:numId w:val="0"/>
      </w:numPr>
      <w:snapToGrid/>
      <w:spacing w:before="240" w:after="0" w:line="259" w:lineRule="auto"/>
      <w:jc w:val="left"/>
      <w:outlineLvl w:val="9"/>
    </w:pPr>
    <w:rPr>
      <w:rFonts w:ascii="Calibri Light" w:hAnsi="Calibri Light" w:eastAsia="宋体" w:cs="Times New Roman"/>
      <w:b w:val="0"/>
      <w:bCs w:val="0"/>
      <w:color w:val="2E74B5"/>
      <w:kern w:val="0"/>
      <w:szCs w:val="32"/>
    </w:rPr>
  </w:style>
  <w:style w:type="paragraph" w:customStyle="1" w:styleId="15">
    <w:name w:val="环表"/>
    <w:basedOn w:val="1"/>
    <w:next w:val="1"/>
    <w:qFormat/>
    <w:uiPriority w:val="0"/>
    <w:pPr>
      <w:adjustRightInd w:val="0"/>
      <w:spacing w:beforeLines="10" w:afterLines="10" w:line="240" w:lineRule="auto"/>
      <w:ind w:firstLine="0" w:firstLineChars="0"/>
      <w:jc w:val="center"/>
    </w:pPr>
    <w:rPr>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2018-11-09T06:55:00Z</dcterms:created>
  <dc:creator>Jesse</dc:creator>
  <cp:lastModifiedBy>Jesse</cp:lastModifiedBy>
  <dcterms:modified xsi:type="dcterms:W3CDTF">2018-11-12T03:28:17Z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